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IRREVOCABLE LIFE INSURANCE TRUST (ILIT)</w:t>
      </w:r>
    </w:p>
    <w:p>
      <w:pPr>
        <w:jc w:val="center"/>
      </w:pPr>
      <w:r>
        <w:rPr>
          <w:rFonts w:ascii="Times New Roman" w:hAnsi="Times New Roman"/>
          <w:b w:val="0"/>
          <w:sz w:val="24"/>
        </w:rPr>
        <w:t>(IRC § 2042 Compliant — Removes Life Insurance from Taxable Estate)</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template is for educational and informational purposes only. An Irrevocable Life Insurance Trust (ILIT) is a complex tax planning tool. Errors in ILIT structure or administration can result in life insurance proceeds being included in the Grantor's taxable estate. Review with a licensed United States (Universal) estate planning attorney and a qualified tax advisor before signing. Drafted under Uniform Trust Code (UTC) as adopted in your state; consult applicable state statutes and IRC §§ 2042 and 2035.</w:t>
      </w:r>
    </w:p>
    <w:p>
      <w:r>
        <w:br w:type="page"/>
      </w:r>
    </w:p>
    <w:p>
      <w:pPr>
        <w:jc w:val="center"/>
      </w:pPr>
      <w:r>
        <w:rPr>
          <w:rFonts w:ascii="Times New Roman" w:hAnsi="Times New Roman"/>
          <w:b/>
          <w:sz w:val="28"/>
        </w:rPr>
        <w:t>UNITED STATES (UNIVERSAL) IRREVOCABLE LIFE INSURANCE TRUST AGREEMENT</w:t>
      </w:r>
    </w:p>
    <w:p>
      <w:pPr>
        <w:spacing w:before="40" w:after="40"/>
      </w:pPr>
    </w:p>
    <w:p>
      <w:pPr>
        <w:spacing w:before="60" w:after="60"/>
      </w:pPr>
      <w:r>
        <w:rPr>
          <w:rFonts w:ascii="Times New Roman" w:hAnsi="Times New Roman"/>
          <w:sz w:val="24"/>
        </w:rPr>
        <w:t>This Irrevocable Life Insurance Trust Agreement ("Trust") is entered into this _____ day of __________________, 20____, by ________________________________ ("Grantor"), of __________________________ County, United States (Universal), and ________________________________ ("Trustee").</w:t>
      </w:r>
    </w:p>
    <w:p>
      <w:pPr>
        <w:spacing w:before="40" w:after="40"/>
      </w:pPr>
    </w:p>
    <w:p>
      <w:pPr>
        <w:spacing w:before="80"/>
      </w:pPr>
      <w:r>
        <w:rPr>
          <w:rFonts w:ascii="Times New Roman" w:hAnsi="Times New Roman"/>
          <w:b/>
          <w:sz w:val="24"/>
        </w:rPr>
        <w:t xml:space="preserve">Grantor's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Grantor's address / SSN (last 4 only):  </w:t>
      </w:r>
      <w:r>
        <w:rPr>
          <w:rFonts w:ascii="Times New Roman" w:hAnsi="Times New Roman"/>
          <w:sz w:val="24"/>
        </w:rPr>
        <w:t>_______________________________________________</w:t>
      </w:r>
    </w:p>
    <w:p>
      <w:pPr>
        <w:spacing w:before="80"/>
      </w:pPr>
      <w:r>
        <w:rPr>
          <w:rFonts w:ascii="Times New Roman" w:hAnsi="Times New Roman"/>
          <w:b/>
          <w:sz w:val="24"/>
        </w:rPr>
        <w:t xml:space="preserve">Independent Trustee (must not be Grantor or Grantor's spouse):  </w:t>
      </w:r>
      <w:r>
        <w:rPr>
          <w:rFonts w:ascii="Times New Roman" w:hAnsi="Times New Roman"/>
          <w:sz w:val="24"/>
        </w:rPr>
        <w:t>_______________________________________________</w:t>
      </w:r>
    </w:p>
    <w:p>
      <w:pPr>
        <w:spacing w:before="80"/>
      </w:pPr>
      <w:r>
        <w:rPr>
          <w:rFonts w:ascii="Times New Roman" w:hAnsi="Times New Roman"/>
          <w:b/>
          <w:sz w:val="24"/>
        </w:rPr>
        <w:t xml:space="preserve">Trustee's address:  </w:t>
      </w:r>
      <w:r>
        <w:rPr>
          <w:rFonts w:ascii="Times New Roman" w:hAnsi="Times New Roman"/>
          <w:sz w:val="24"/>
        </w:rPr>
        <w:t>_______________________________________________</w:t>
      </w:r>
    </w:p>
    <w:p>
      <w:pPr>
        <w:spacing w:before="240"/>
      </w:pPr>
      <w:r>
        <w:rPr>
          <w:rFonts w:ascii="Times New Roman" w:hAnsi="Times New Roman"/>
          <w:b/>
          <w:sz w:val="24"/>
        </w:rPr>
        <w:t>ARTICLE I — TRUST CREATION, PURPOSE, AND IRC § 2042 COMPLIANCE</w:t>
      </w:r>
    </w:p>
    <w:p>
      <w:pPr>
        <w:spacing w:before="60" w:after="60"/>
        <w:ind w:left="720"/>
      </w:pPr>
      <w:r>
        <w:rPr>
          <w:rFonts w:ascii="Times New Roman" w:hAnsi="Times New Roman"/>
          <w:b/>
          <w:sz w:val="24"/>
        </w:rPr>
        <w:t xml:space="preserve">1.1  </w:t>
      </w:r>
      <w:r>
        <w:rPr>
          <w:rFonts w:ascii="Times New Roman" w:hAnsi="Times New Roman"/>
          <w:sz w:val="24"/>
        </w:rPr>
        <w:t>Trust Creation. The Grantor hereby establishes this irrevocable trust pursuant to Uniform Trust Code (UTC) as adopted in your state; consult applicable state statutes. The Trust is established for the purpose of owning life insurance policies on the Grantor's life and distributing the proceeds to the Trust beneficiaries at the Grantor's death in a manner that removes the insurance proceeds from the Grantor's taxable estate.</w:t>
      </w:r>
    </w:p>
    <w:p>
      <w:pPr>
        <w:spacing w:before="60" w:after="60"/>
        <w:ind w:left="720"/>
      </w:pPr>
      <w:r>
        <w:rPr>
          <w:rFonts w:ascii="Times New Roman" w:hAnsi="Times New Roman"/>
          <w:b/>
          <w:sz w:val="24"/>
        </w:rPr>
        <w:t xml:space="preserve">1.2  </w:t>
      </w:r>
      <w:r>
        <w:rPr>
          <w:rFonts w:ascii="Times New Roman" w:hAnsi="Times New Roman"/>
          <w:sz w:val="24"/>
        </w:rPr>
        <w:t>IRC § 2042 Compliance — No Incidents of Ownership. The fundamental tax purpose of this ILIT is to ensure that the life insurance policies held in this Trust are NOT included in the Grantor's federal gross estate under IRC § 2042. To achieve this, the Grantor must retain NO 'incidents of ownership' over the policies, including: (a) no right to change beneficiaries; (b) no right to borrow against the policy; (c) no right to surrender the policy for cash value; (d) no right to assign the policy; and (e) no right to use the policy as collateral. The Trustee — NOT the Grantor — shall hold and exercise all ownership rights over policies held in this Trust.</w:t>
      </w:r>
    </w:p>
    <w:p>
      <w:pPr>
        <w:spacing w:before="60" w:after="60"/>
        <w:ind w:left="720"/>
      </w:pPr>
      <w:r>
        <w:rPr>
          <w:rFonts w:ascii="Times New Roman" w:hAnsi="Times New Roman"/>
          <w:b/>
          <w:sz w:val="24"/>
        </w:rPr>
        <w:t xml:space="preserve">1.3  </w:t>
      </w:r>
      <w:r>
        <w:rPr>
          <w:rFonts w:ascii="Times New Roman" w:hAnsi="Times New Roman"/>
          <w:sz w:val="24"/>
        </w:rPr>
        <w:t>Irrevocability. This Trust is IRREVOCABLE. The Grantor hereby relinquishes all power to revoke, alter, amend, or terminate this Trust. The Grantor has no right to modify the Trust, change beneficiaries, or recover policies or other assets transferred to the Trust.</w:t>
      </w:r>
    </w:p>
    <w:p>
      <w:pPr>
        <w:spacing w:before="60" w:after="60"/>
        <w:ind w:left="720"/>
      </w:pPr>
      <w:r>
        <w:rPr>
          <w:rFonts w:ascii="Times New Roman" w:hAnsi="Times New Roman"/>
          <w:b/>
          <w:sz w:val="24"/>
        </w:rPr>
        <w:t xml:space="preserve">1.4  </w:t>
      </w:r>
      <w:r>
        <w:rPr>
          <w:rFonts w:ascii="Times New Roman" w:hAnsi="Times New Roman"/>
          <w:sz w:val="24"/>
        </w:rPr>
        <w:t>Independent Trustee Requirement. The Trustee of this ILIT must be an independent person — not the Grantor, not the Grantor's spouse, and not any person who is a beneficiary of this Trust. An independent Trustee is required for proper IRC § 2042 compliance.</w:t>
      </w:r>
    </w:p>
    <w:p>
      <w:pPr>
        <w:spacing w:before="60" w:after="60"/>
        <w:ind w:left="720"/>
      </w:pPr>
      <w:r>
        <w:rPr>
          <w:rFonts w:ascii="Times New Roman" w:hAnsi="Times New Roman"/>
          <w:b/>
          <w:sz w:val="24"/>
        </w:rPr>
        <w:t xml:space="preserve">1.5  </w:t>
      </w:r>
      <w:r>
        <w:rPr>
          <w:rFonts w:ascii="Times New Roman" w:hAnsi="Times New Roman"/>
          <w:sz w:val="24"/>
        </w:rPr>
        <w:t>Three-Year Rule — IRC § 2035. If the Grantor transfers an existing life insurance policy to this Trust (as opposed to the Trust purchasing a new policy), the Grantor must survive the transfer by at least three (3) years, or the policy proceeds will be included in the Grantor's taxable estate under IRC § 2035. The Grantor should consider transferring only policies with low or zero cash value, or having this Trust apply for and own new policies.</w:t>
      </w:r>
    </w:p>
    <w:p>
      <w:pPr>
        <w:spacing w:before="240"/>
      </w:pPr>
      <w:r>
        <w:rPr>
          <w:rFonts w:ascii="Times New Roman" w:hAnsi="Times New Roman"/>
          <w:b/>
          <w:sz w:val="24"/>
        </w:rPr>
        <w:t>ARTICLE II — INSURANCE POLICY OWNERSHIP AND BENEFICIARY DESIGNATION INSTRUCTIONS</w:t>
      </w:r>
    </w:p>
    <w:p>
      <w:pPr>
        <w:spacing w:before="60" w:after="60"/>
        <w:ind w:left="720"/>
      </w:pPr>
      <w:r>
        <w:rPr>
          <w:rFonts w:ascii="Times New Roman" w:hAnsi="Times New Roman"/>
          <w:b/>
          <w:sz w:val="24"/>
        </w:rPr>
        <w:t xml:space="preserve">2.1  </w:t>
      </w:r>
      <w:r>
        <w:rPr>
          <w:rFonts w:ascii="Times New Roman" w:hAnsi="Times New Roman"/>
          <w:sz w:val="24"/>
        </w:rPr>
        <w:t>Policies Transferred to Trust. The following life insurance policies are initially transferred to the Trust (or the Trust will apply for new policies as directed by the Trust Protector/Trustee):</w:t>
      </w:r>
    </w:p>
    <w:p>
      <w:pPr>
        <w:spacing w:before="80"/>
      </w:pPr>
      <w:r>
        <w:rPr>
          <w:rFonts w:ascii="Times New Roman" w:hAnsi="Times New Roman"/>
          <w:b/>
          <w:sz w:val="24"/>
        </w:rPr>
        <w:t xml:space="preserve">  Insurance Company #1:  </w:t>
      </w:r>
      <w:r>
        <w:rPr>
          <w:rFonts w:ascii="Times New Roman" w:hAnsi="Times New Roman"/>
          <w:sz w:val="24"/>
        </w:rPr>
        <w:t>_______________________________________________</w:t>
      </w:r>
    </w:p>
    <w:p>
      <w:pPr>
        <w:spacing w:before="80"/>
      </w:pPr>
      <w:r>
        <w:rPr>
          <w:rFonts w:ascii="Times New Roman" w:hAnsi="Times New Roman"/>
          <w:b/>
          <w:sz w:val="24"/>
        </w:rPr>
        <w:t xml:space="preserve">  Policy Number #1:  </w:t>
      </w:r>
      <w:r>
        <w:rPr>
          <w:rFonts w:ascii="Times New Roman" w:hAnsi="Times New Roman"/>
          <w:sz w:val="24"/>
        </w:rPr>
        <w:t>_______________________________________________</w:t>
      </w:r>
    </w:p>
    <w:p>
      <w:pPr>
        <w:spacing w:before="80"/>
      </w:pPr>
      <w:r>
        <w:rPr>
          <w:rFonts w:ascii="Times New Roman" w:hAnsi="Times New Roman"/>
          <w:b/>
          <w:sz w:val="24"/>
        </w:rPr>
        <w:t xml:space="preserve">  Face Amount ($):  </w:t>
      </w:r>
      <w:r>
        <w:rPr>
          <w:rFonts w:ascii="Times New Roman" w:hAnsi="Times New Roman"/>
          <w:sz w:val="24"/>
        </w:rPr>
        <w:t>_______________________________________________</w:t>
      </w:r>
    </w:p>
    <w:p>
      <w:pPr>
        <w:spacing w:before="80"/>
      </w:pPr>
      <w:r>
        <w:rPr>
          <w:rFonts w:ascii="Times New Roman" w:hAnsi="Times New Roman"/>
          <w:b/>
          <w:sz w:val="24"/>
        </w:rPr>
        <w:t xml:space="preserve">  Type of Policy (Term / Whole Life / Universal Life / Second-to-Die):  </w:t>
      </w:r>
      <w:r>
        <w:rPr>
          <w:rFonts w:ascii="Times New Roman" w:hAnsi="Times New Roman"/>
          <w:sz w:val="24"/>
        </w:rPr>
        <w:t>_______________________________________________</w:t>
      </w:r>
    </w:p>
    <w:p>
      <w:pPr>
        <w:spacing w:before="40" w:after="40"/>
      </w:pPr>
    </w:p>
    <w:p>
      <w:pPr>
        <w:spacing w:before="80"/>
      </w:pPr>
      <w:r>
        <w:rPr>
          <w:rFonts w:ascii="Times New Roman" w:hAnsi="Times New Roman"/>
          <w:b/>
          <w:sz w:val="24"/>
        </w:rPr>
        <w:t xml:space="preserve">  Insurance Company #2 (if applicable):  </w:t>
      </w:r>
      <w:r>
        <w:rPr>
          <w:rFonts w:ascii="Times New Roman" w:hAnsi="Times New Roman"/>
          <w:sz w:val="24"/>
        </w:rPr>
        <w:t>_______________________________________________</w:t>
      </w:r>
    </w:p>
    <w:p>
      <w:pPr>
        <w:spacing w:before="80"/>
      </w:pPr>
      <w:r>
        <w:rPr>
          <w:rFonts w:ascii="Times New Roman" w:hAnsi="Times New Roman"/>
          <w:b/>
          <w:sz w:val="24"/>
        </w:rPr>
        <w:t xml:space="preserve">  Policy Number #2:  </w:t>
      </w:r>
      <w:r>
        <w:rPr>
          <w:rFonts w:ascii="Times New Roman" w:hAnsi="Times New Roman"/>
          <w:sz w:val="24"/>
        </w:rPr>
        <w:t>_______________________________________________</w:t>
      </w:r>
    </w:p>
    <w:p>
      <w:pPr>
        <w:spacing w:before="80"/>
      </w:pPr>
      <w:r>
        <w:rPr>
          <w:rFonts w:ascii="Times New Roman" w:hAnsi="Times New Roman"/>
          <w:b/>
          <w:sz w:val="24"/>
        </w:rPr>
        <w:t xml:space="preserve">  Face Amount ($):  </w:t>
      </w:r>
      <w:r>
        <w:rPr>
          <w:rFonts w:ascii="Times New Roman" w:hAnsi="Times New Roman"/>
          <w:sz w:val="24"/>
        </w:rPr>
        <w:t>_______________________________________________</w:t>
      </w:r>
    </w:p>
    <w:p>
      <w:pPr>
        <w:spacing w:before="80"/>
      </w:pPr>
      <w:r>
        <w:rPr>
          <w:rFonts w:ascii="Times New Roman" w:hAnsi="Times New Roman"/>
          <w:b/>
          <w:sz w:val="24"/>
        </w:rPr>
        <w:t xml:space="preserve">  Type of Policy:  </w:t>
      </w:r>
      <w:r>
        <w:rPr>
          <w:rFonts w:ascii="Times New Roman" w:hAnsi="Times New Roman"/>
          <w:sz w:val="24"/>
        </w:rPr>
        <w:t>_______________________________________________</w:t>
      </w:r>
    </w:p>
    <w:p>
      <w:pPr>
        <w:spacing w:before="60" w:after="60"/>
        <w:ind w:left="720"/>
      </w:pPr>
      <w:r>
        <w:rPr>
          <w:rFonts w:ascii="Times New Roman" w:hAnsi="Times New Roman"/>
          <w:b/>
          <w:sz w:val="24"/>
        </w:rPr>
        <w:t xml:space="preserve">2.2  </w:t>
      </w:r>
      <w:r>
        <w:rPr>
          <w:rFonts w:ascii="Times New Roman" w:hAnsi="Times New Roman"/>
          <w:sz w:val="24"/>
        </w:rPr>
        <w:t>Proper Ownership Designation. The owner of each life insurance policy held in this Trust must be the Trustee, as Trustee of this Trust — NOT the Grantor personally. The ownership designation on each policy should read exactly as: '[TRUSTEE'S NAME], as Trustee of the ________________________________ Irrevocable Life Insurance Trust dated __________________, 20____, under agreement of trust.' Contact the insurance company to re-title existing policies or to designate the Trust as owner of any new policies.</w:t>
      </w:r>
    </w:p>
    <w:p>
      <w:pPr>
        <w:spacing w:before="60" w:after="60"/>
        <w:ind w:left="720"/>
      </w:pPr>
      <w:r>
        <w:rPr>
          <w:rFonts w:ascii="Times New Roman" w:hAnsi="Times New Roman"/>
          <w:b/>
          <w:sz w:val="24"/>
        </w:rPr>
        <w:t xml:space="preserve">2.3  </w:t>
      </w:r>
      <w:r>
        <w:rPr>
          <w:rFonts w:ascii="Times New Roman" w:hAnsi="Times New Roman"/>
          <w:sz w:val="24"/>
        </w:rPr>
        <w:t>Proper Beneficiary Designation. The beneficiary of each life insurance policy held in this Trust must be the Trust itself — NOT any individual. The beneficiary designation should read: 'The Trustee of the ________________________________ Irrevocable Life Insurance Trust dated __________________, 20____, as primary beneficiary (100%).' Do NOT name the Grantor's estate as beneficiary — doing so would include the proceeds in the Grantor's taxable estate.</w:t>
      </w:r>
    </w:p>
    <w:p>
      <w:pPr>
        <w:spacing w:before="60" w:after="60"/>
        <w:ind w:left="720"/>
      </w:pPr>
      <w:r>
        <w:rPr>
          <w:rFonts w:ascii="Times New Roman" w:hAnsi="Times New Roman"/>
          <w:b/>
          <w:sz w:val="24"/>
        </w:rPr>
        <w:t xml:space="preserve">2.4  </w:t>
      </w:r>
      <w:r>
        <w:rPr>
          <w:rFonts w:ascii="Times New Roman" w:hAnsi="Times New Roman"/>
          <w:sz w:val="24"/>
        </w:rPr>
        <w:t>New Policy Acquisition. The Trustee is authorized to apply for, purchase, and maintain additional life insurance policies on the Grantor's life (and/or the Grantor's Spouse's life, for second-to-die policies) using Trust funds, without notice to the Grantor.</w:t>
      </w:r>
    </w:p>
    <w:p>
      <w:pPr>
        <w:spacing w:before="240"/>
      </w:pPr>
      <w:r>
        <w:rPr>
          <w:rFonts w:ascii="Times New Roman" w:hAnsi="Times New Roman"/>
          <w:b/>
          <w:sz w:val="24"/>
        </w:rPr>
        <w:t>ARTICLE III — CRUMMEY WITHDRAWAL POWERS (ANNUAL EXCLUSION MECHANISM)</w:t>
      </w:r>
    </w:p>
    <w:p>
      <w:pPr>
        <w:spacing w:before="60" w:after="60"/>
        <w:ind w:left="720"/>
      </w:pPr>
      <w:r>
        <w:rPr>
          <w:rFonts w:ascii="Times New Roman" w:hAnsi="Times New Roman"/>
          <w:b/>
          <w:sz w:val="24"/>
        </w:rPr>
        <w:t xml:space="preserve">3.1  </w:t>
      </w:r>
      <w:r>
        <w:rPr>
          <w:rFonts w:ascii="Times New Roman" w:hAnsi="Times New Roman"/>
          <w:sz w:val="24"/>
        </w:rPr>
        <w:t>Crummey Powers — Purpose. To qualify premium contributions to this Trust as present interest gifts eligible for the federal annual gift tax exclusion under IRC § 2503(b) (currently $18,000 per recipient per year in 2024, indexed for inflation), the Trust beneficiaries must have a temporary right to withdraw contributions made to the Trust. These withdrawal rights are called 'Crummey powers' after the Tax Court case Crummey v. Commissioner, 397 F.2d 82 (9th Cir. 1968).</w:t>
      </w:r>
    </w:p>
    <w:p>
      <w:pPr>
        <w:spacing w:before="60" w:after="60"/>
        <w:ind w:left="720"/>
      </w:pPr>
      <w:r>
        <w:rPr>
          <w:rFonts w:ascii="Times New Roman" w:hAnsi="Times New Roman"/>
          <w:b/>
          <w:sz w:val="24"/>
        </w:rPr>
        <w:t xml:space="preserve">3.2  </w:t>
      </w:r>
      <w:r>
        <w:rPr>
          <w:rFonts w:ascii="Times New Roman" w:hAnsi="Times New Roman"/>
          <w:sz w:val="24"/>
        </w:rPr>
        <w:t>Crummey Withdrawal Right. Each time the Grantor (or any other person) makes a contribution to this Trust, each current beneficiary (the "Crummey Beneficiaries") shall have the right to withdraw from the Trust, for a period of thirty (30) days after receiving written notice of the contribution, an amount equal to the lesser of: (a) the beneficiary's pro-rata share of the contribution; or (b) the annual gift tax exclusion amount under IRC § 2503(b) attributable to such beneficiary.</w:t>
      </w:r>
    </w:p>
    <w:p>
      <w:pPr>
        <w:spacing w:before="60" w:after="60"/>
        <w:ind w:left="720"/>
      </w:pPr>
      <w:r>
        <w:rPr>
          <w:rFonts w:ascii="Times New Roman" w:hAnsi="Times New Roman"/>
          <w:b/>
          <w:sz w:val="24"/>
        </w:rPr>
        <w:t xml:space="preserve">3.3  </w:t>
      </w:r>
      <w:r>
        <w:rPr>
          <w:rFonts w:ascii="Times New Roman" w:hAnsi="Times New Roman"/>
          <w:sz w:val="24"/>
        </w:rPr>
        <w:t>Crummey Beneficiaries. The following persons are designated as 'Crummey Beneficiaries' (i.e., persons who receive withdrawal notice and have withdrawal rights):</w:t>
      </w:r>
    </w:p>
    <w:p>
      <w:pPr>
        <w:spacing w:before="60" w:after="60"/>
      </w:pPr>
      <w:r>
        <w:rPr>
          <w:rFonts w:ascii="Times New Roman" w:hAnsi="Times New Roman"/>
          <w:sz w:val="24"/>
        </w:rPr>
        <w:t xml:space="preserve">      Crummey Beneficiary 1: ________________________________ (annual exclusion share: $______)</w:t>
      </w:r>
    </w:p>
    <w:p>
      <w:pPr>
        <w:spacing w:before="60" w:after="60"/>
      </w:pPr>
      <w:r>
        <w:rPr>
          <w:rFonts w:ascii="Times New Roman" w:hAnsi="Times New Roman"/>
          <w:sz w:val="24"/>
        </w:rPr>
        <w:t xml:space="preserve">      Crummey Beneficiary 2: ________________________________ (annual exclusion share: $______)</w:t>
      </w:r>
    </w:p>
    <w:p>
      <w:pPr>
        <w:spacing w:before="60" w:after="60"/>
      </w:pPr>
      <w:r>
        <w:rPr>
          <w:rFonts w:ascii="Times New Roman" w:hAnsi="Times New Roman"/>
          <w:sz w:val="24"/>
        </w:rPr>
        <w:t xml:space="preserve">      Crummey Beneficiary 3: ________________________________ (annual exclusion share: $______)</w:t>
      </w:r>
    </w:p>
    <w:p>
      <w:pPr>
        <w:spacing w:before="60" w:after="60"/>
      </w:pPr>
      <w:r>
        <w:rPr>
          <w:rFonts w:ascii="Times New Roman" w:hAnsi="Times New Roman"/>
          <w:sz w:val="24"/>
        </w:rPr>
        <w:t xml:space="preserve">      Crummey Beneficiary 4: ________________________________ (annual exclusion share: $______)</w:t>
      </w:r>
    </w:p>
    <w:p>
      <w:pPr>
        <w:spacing w:before="60" w:after="60"/>
        <w:ind w:left="720"/>
      </w:pPr>
      <w:r>
        <w:rPr>
          <w:rFonts w:ascii="Times New Roman" w:hAnsi="Times New Roman"/>
          <w:b/>
          <w:sz w:val="24"/>
        </w:rPr>
        <w:t xml:space="preserve">3.4  </w:t>
      </w:r>
      <w:r>
        <w:rPr>
          <w:rFonts w:ascii="Times New Roman" w:hAnsi="Times New Roman"/>
          <w:sz w:val="24"/>
        </w:rPr>
        <w:t>Crummey Notice Requirement. The Trustee MUST send written Crummey withdrawal notices to each Crummey Beneficiary (or the beneficiary's guardian if a minor) within a reasonable time after each premium contribution. A sample Crummey Notice is attached hereto as Exhibit A. FAILURE TO SEND CRUMMEY NOTICES may cause the IRS to deny the annual exclusion and treat premium contributions as taxable gifts.</w:t>
      </w:r>
    </w:p>
    <w:p>
      <w:pPr>
        <w:spacing w:before="60" w:after="60"/>
        <w:ind w:left="720"/>
      </w:pPr>
      <w:r>
        <w:rPr>
          <w:rFonts w:ascii="Times New Roman" w:hAnsi="Times New Roman"/>
          <w:b/>
          <w:sz w:val="24"/>
        </w:rPr>
        <w:t xml:space="preserve">3.5  </w:t>
      </w:r>
      <w:r>
        <w:rPr>
          <w:rFonts w:ascii="Times New Roman" w:hAnsi="Times New Roman"/>
          <w:sz w:val="24"/>
        </w:rPr>
        <w:t>Lapse of Withdrawal Right. If a Crummey Beneficiary fails to exercise the withdrawal right within the thirty (30)-day window, the right lapses and the contribution remains in the Trust. The lapse of a Crummey power is generally treated as a gift from the beneficiary under IRC § 2514 to the extent it exceeds the greater of $5,000 or 5% of the Trust assets ('5-and-5 power'). Consult a tax advisor regarding 5-and-5 lapse issues.</w:t>
      </w:r>
    </w:p>
    <w:p>
      <w:pPr>
        <w:spacing w:before="60" w:after="60"/>
        <w:ind w:left="720"/>
      </w:pPr>
      <w:r>
        <w:rPr>
          <w:rFonts w:ascii="Times New Roman" w:hAnsi="Times New Roman"/>
          <w:b/>
          <w:sz w:val="24"/>
        </w:rPr>
        <w:t xml:space="preserve">3.6  </w:t>
      </w:r>
      <w:r>
        <w:rPr>
          <w:rFonts w:ascii="Times New Roman" w:hAnsi="Times New Roman"/>
          <w:sz w:val="24"/>
        </w:rPr>
        <w:t>Sample Crummey Notice Template (Exhibit A). The Trustee shall use the following notice or a substantially similar form:</w:t>
      </w:r>
    </w:p>
    <w:p>
      <w:pPr>
        <w:spacing w:before="60" w:after="60"/>
      </w:pPr>
      <w:r>
        <w:rPr>
          <w:rFonts w:ascii="Times New Roman" w:hAnsi="Times New Roman"/>
          <w:sz w:val="24"/>
        </w:rPr>
        <w:t xml:space="preserve">      ─────────────────────────────────────────────────────────────────────────────────</w:t>
      </w:r>
    </w:p>
    <w:p>
      <w:pPr>
        <w:spacing w:before="60" w:after="60"/>
      </w:pPr>
      <w:r>
        <w:rPr>
          <w:rFonts w:ascii="Times New Roman" w:hAnsi="Times New Roman"/>
          <w:sz w:val="24"/>
        </w:rPr>
        <w:t xml:space="preserve">      CRUMMEY WITHDRAWAL NOTICE</w:t>
      </w:r>
    </w:p>
    <w:p>
      <w:pPr>
        <w:spacing w:before="60" w:after="60"/>
      </w:pPr>
      <w:r>
        <w:rPr>
          <w:rFonts w:ascii="Times New Roman" w:hAnsi="Times New Roman"/>
          <w:sz w:val="24"/>
        </w:rPr>
        <w:t xml:space="preserve">      Date: _______________________</w:t>
      </w:r>
    </w:p>
    <w:p>
      <w:pPr>
        <w:spacing w:before="60" w:after="60"/>
      </w:pPr>
      <w:r>
        <w:rPr>
          <w:rFonts w:ascii="Times New Roman" w:hAnsi="Times New Roman"/>
          <w:sz w:val="24"/>
        </w:rPr>
        <w:t xml:space="preserve">      To: ________________________________ (Crummey Beneficiary)</w:t>
      </w:r>
    </w:p>
    <w:p>
      <w:pPr>
        <w:spacing w:before="60" w:after="60"/>
      </w:pPr>
      <w:r>
        <w:rPr>
          <w:rFonts w:ascii="Times New Roman" w:hAnsi="Times New Roman"/>
          <w:sz w:val="24"/>
        </w:rPr>
        <w:t xml:space="preserve">      Re: Withdrawal Right — [TRUST NAME] ILIT</w:t>
      </w:r>
    </w:p>
    <w:p>
      <w:pPr>
        <w:spacing w:before="60" w:after="60"/>
      </w:pPr>
      <w:r>
        <w:rPr>
          <w:rFonts w:ascii="Times New Roman" w:hAnsi="Times New Roman"/>
          <w:sz w:val="24"/>
        </w:rPr>
        <w:t xml:space="preserve">      Dear ________________________________:</w:t>
      </w:r>
    </w:p>
    <w:p>
      <w:pPr>
        <w:spacing w:before="60" w:after="60"/>
      </w:pPr>
      <w:r>
        <w:rPr>
          <w:rFonts w:ascii="Times New Roman" w:hAnsi="Times New Roman"/>
          <w:sz w:val="24"/>
        </w:rPr>
        <w:t xml:space="preserve">      You are hereby notified that on __________________, 20____, the sum of $__________ was contributed to the above-referenced Irrevocable Life Insurance Trust.</w:t>
      </w:r>
    </w:p>
    <w:p>
      <w:pPr>
        <w:spacing w:before="60" w:after="60"/>
      </w:pPr>
      <w:r>
        <w:rPr>
          <w:rFonts w:ascii="Times New Roman" w:hAnsi="Times New Roman"/>
          <w:sz w:val="24"/>
        </w:rPr>
        <w:t xml:space="preserve">      You have the right to withdraw up to $__________ (your pro-rata share of the contribution, not to exceed the annual exclusion amount of $18,000 per year) from the Trust at any time during the thirty (30) days following receipt of this notice.</w:t>
      </w:r>
    </w:p>
    <w:p>
      <w:pPr>
        <w:spacing w:before="60" w:after="60"/>
      </w:pPr>
      <w:r>
        <w:rPr>
          <w:rFonts w:ascii="Times New Roman" w:hAnsi="Times New Roman"/>
          <w:sz w:val="24"/>
        </w:rPr>
        <w:t xml:space="preserve">      This right of withdrawal will LAPSE and become null and void on __________________, 20____ (30 days from the date of this notice), if not exercised.</w:t>
      </w:r>
    </w:p>
    <w:p>
      <w:pPr>
        <w:spacing w:before="60" w:after="60"/>
      </w:pPr>
      <w:r>
        <w:rPr>
          <w:rFonts w:ascii="Times New Roman" w:hAnsi="Times New Roman"/>
          <w:sz w:val="24"/>
        </w:rPr>
        <w:t xml:space="preserve">      To exercise this withdrawal right, contact the Trustee at: ________________________________.</w:t>
      </w:r>
    </w:p>
    <w:p>
      <w:pPr>
        <w:spacing w:before="60" w:after="60"/>
      </w:pPr>
      <w:r>
        <w:rPr>
          <w:rFonts w:ascii="Times New Roman" w:hAnsi="Times New Roman"/>
          <w:sz w:val="24"/>
        </w:rPr>
        <w:t xml:space="preserve">      Very truly yours,</w:t>
      </w:r>
    </w:p>
    <w:p>
      <w:pPr>
        <w:spacing w:before="60" w:after="60"/>
      </w:pPr>
      <w:r>
        <w:rPr>
          <w:rFonts w:ascii="Times New Roman" w:hAnsi="Times New Roman"/>
          <w:sz w:val="24"/>
        </w:rPr>
        <w:t xml:space="preserve">      ________________________________, Trustee</w:t>
      </w:r>
    </w:p>
    <w:p>
      <w:pPr>
        <w:spacing w:before="60" w:after="60"/>
      </w:pPr>
      <w:r>
        <w:rPr>
          <w:rFonts w:ascii="Times New Roman" w:hAnsi="Times New Roman"/>
          <w:sz w:val="24"/>
        </w:rPr>
        <w:t xml:space="preserve">      ─────────────────────────────────────────────────────────────────────────────────</w:t>
      </w:r>
    </w:p>
    <w:p>
      <w:pPr>
        <w:spacing w:before="240"/>
      </w:pPr>
      <w:r>
        <w:rPr>
          <w:rFonts w:ascii="Times New Roman" w:hAnsi="Times New Roman"/>
          <w:b/>
          <w:sz w:val="24"/>
        </w:rPr>
        <w:t>ARTICLE IV — PREMIUM CONTRIBUTION STRUCTURE</w:t>
      </w:r>
    </w:p>
    <w:p>
      <w:pPr>
        <w:spacing w:before="60" w:after="60"/>
        <w:ind w:left="720"/>
      </w:pPr>
      <w:r>
        <w:rPr>
          <w:rFonts w:ascii="Times New Roman" w:hAnsi="Times New Roman"/>
          <w:b/>
          <w:sz w:val="24"/>
        </w:rPr>
        <w:t xml:space="preserve">4.1  </w:t>
      </w:r>
      <w:r>
        <w:rPr>
          <w:rFonts w:ascii="Times New Roman" w:hAnsi="Times New Roman"/>
          <w:sz w:val="24"/>
        </w:rPr>
        <w:t>Funding Mechanism. The Grantor intends to make annual gifts to this Trust to enable the Trustee to pay life insurance premiums. Each annual gift should be structured to qualify as a present interest gift eligible for the annual exclusion under IRC § 2503(b), using the Crummey withdrawal mechanism described in Article III.</w:t>
      </w:r>
    </w:p>
    <w:p>
      <w:pPr>
        <w:spacing w:before="60" w:after="60"/>
        <w:ind w:left="720"/>
      </w:pPr>
      <w:r>
        <w:rPr>
          <w:rFonts w:ascii="Times New Roman" w:hAnsi="Times New Roman"/>
          <w:b/>
          <w:sz w:val="24"/>
        </w:rPr>
        <w:t xml:space="preserve">4.2  </w:t>
      </w:r>
      <w:r>
        <w:rPr>
          <w:rFonts w:ascii="Times New Roman" w:hAnsi="Times New Roman"/>
          <w:sz w:val="24"/>
        </w:rPr>
        <w:t>Gift Tax Return Requirement. The Grantor must file a federal gift tax return (Form 709) for each year in which contributions to this Trust are made, even if no gift tax is owed (because the contributions qualify for the annual exclusion). Consult a tax advisor regarding Form 709 filing requirements.</w:t>
      </w:r>
    </w:p>
    <w:p>
      <w:pPr>
        <w:spacing w:before="60" w:after="60"/>
        <w:ind w:left="720"/>
      </w:pPr>
      <w:r>
        <w:rPr>
          <w:rFonts w:ascii="Times New Roman" w:hAnsi="Times New Roman"/>
          <w:b/>
          <w:sz w:val="24"/>
        </w:rPr>
        <w:t xml:space="preserve">4.3  </w:t>
      </w:r>
      <w:r>
        <w:rPr>
          <w:rFonts w:ascii="Times New Roman" w:hAnsi="Times New Roman"/>
          <w:sz w:val="24"/>
        </w:rPr>
        <w:t>Split-Interest Gifts. If the Grantor's Spouse elects gift-splitting under IRC § 2513, the available annual exclusion doubles to $36,000 per Crummey Beneficiary per year. Gift-splitting requires both spouses to consent on Form 709 and must be elected for all gifts made during the calendar year.</w:t>
      </w:r>
    </w:p>
    <w:p>
      <w:pPr>
        <w:spacing w:before="60" w:after="60"/>
        <w:ind w:left="720"/>
      </w:pPr>
      <w:r>
        <w:rPr>
          <w:rFonts w:ascii="Times New Roman" w:hAnsi="Times New Roman"/>
          <w:b/>
          <w:sz w:val="24"/>
        </w:rPr>
        <w:t xml:space="preserve">4.4  </w:t>
      </w:r>
      <w:r>
        <w:rPr>
          <w:rFonts w:ascii="Times New Roman" w:hAnsi="Times New Roman"/>
          <w:sz w:val="24"/>
        </w:rPr>
        <w:t>Superfunding. For single-premium or lump-sum premium policies, the Grantor may elect to frontload up to five (5) years' annual exclusion gifts (up to $90,000 per Crummey Beneficiary in 2024) in a single year under the superfunding election available for 529 plans but NOT available for ILITs without risk. Consult a tax advisor before making lump-sum contributions to an ILIT.</w:t>
      </w:r>
    </w:p>
    <w:p>
      <w:pPr>
        <w:spacing w:before="240"/>
      </w:pPr>
      <w:r>
        <w:rPr>
          <w:rFonts w:ascii="Times New Roman" w:hAnsi="Times New Roman"/>
          <w:b/>
          <w:sz w:val="24"/>
        </w:rPr>
        <w:t>ARTICLE V — SPENDTHRIFT CLAUSE AND GST PLANNING</w:t>
      </w:r>
    </w:p>
    <w:p>
      <w:pPr>
        <w:spacing w:before="60" w:after="60"/>
        <w:ind w:left="720"/>
      </w:pPr>
      <w:r>
        <w:rPr>
          <w:rFonts w:ascii="Times New Roman" w:hAnsi="Times New Roman"/>
          <w:b/>
          <w:sz w:val="24"/>
        </w:rPr>
        <w:t xml:space="preserve">5.1  </w:t>
      </w:r>
      <w:r>
        <w:rPr>
          <w:rFonts w:ascii="Times New Roman" w:hAnsi="Times New Roman"/>
          <w:sz w:val="24"/>
        </w:rPr>
        <w:t>Spendthrift Provision. All beneficial interests under this Trust are subject to a spendthrift restriction under Applicable state trust code spendthrift provision. No beneficiary interest may be transferred, pledged, or assigned voluntarily or involuntarily, and no creditor of any beneficiary may reach any Trust interest before distribution.</w:t>
      </w:r>
    </w:p>
    <w:p>
      <w:pPr>
        <w:spacing w:before="60" w:after="60"/>
        <w:ind w:left="720"/>
      </w:pPr>
      <w:r>
        <w:rPr>
          <w:rFonts w:ascii="Times New Roman" w:hAnsi="Times New Roman"/>
          <w:b/>
          <w:sz w:val="24"/>
        </w:rPr>
        <w:t xml:space="preserve">5.2  </w:t>
      </w:r>
      <w:r>
        <w:rPr>
          <w:rFonts w:ascii="Times New Roman" w:hAnsi="Times New Roman"/>
          <w:sz w:val="24"/>
        </w:rPr>
        <w:t>Generation-Skipping Transfer (GST) Tax Planning. If the Trust beneficiaries include grandchildren or more remote descendants, the Trust may be subject to the generation-skipping transfer tax under IRC §§ 2601-2664. The Grantor should elect to allocate GST tax exemption to contributions to this Trust on Form 709. With proper GST exemption allocation, this Trust can serve as a dynasty trust benefiting multiple generations free of estate and GST taxes.</w:t>
      </w:r>
    </w:p>
    <w:p>
      <w:pPr>
        <w:spacing w:before="60" w:after="60"/>
        <w:ind w:left="720"/>
      </w:pPr>
      <w:r>
        <w:rPr>
          <w:rFonts w:ascii="Times New Roman" w:hAnsi="Times New Roman"/>
          <w:b/>
          <w:sz w:val="24"/>
        </w:rPr>
        <w:t xml:space="preserve">5.3  </w:t>
      </w:r>
      <w:r>
        <w:rPr>
          <w:rFonts w:ascii="Times New Roman" w:hAnsi="Times New Roman"/>
          <w:sz w:val="24"/>
        </w:rPr>
        <w:t>GST Exemption Allocation. The Grantor hereby directs the Trustee to provide all information necessary for the Grantor's tax advisor to make proper GST exemption allocation elections on Form 709. The Grantor intends that this Trust qualify as a 'GST exempt trust' (with inclusion ratio of zero) for federal GST tax purposes.</w:t>
      </w:r>
    </w:p>
    <w:p>
      <w:pPr>
        <w:spacing w:before="240"/>
      </w:pPr>
      <w:r>
        <w:rPr>
          <w:rFonts w:ascii="Times New Roman" w:hAnsi="Times New Roman"/>
          <w:b/>
          <w:sz w:val="24"/>
        </w:rPr>
        <w:t>ARTICLE VI — TRUSTEE POWERS</w:t>
      </w:r>
    </w:p>
    <w:p>
      <w:pPr>
        <w:spacing w:before="60" w:after="60"/>
      </w:pPr>
      <w:r>
        <w:rPr>
          <w:rFonts w:ascii="Times New Roman" w:hAnsi="Times New Roman"/>
          <w:sz w:val="24"/>
        </w:rPr>
        <w:t>The Trustee shall have the following powers in addition to those granted by Uniform Trust Code (UTC) as adopted in your state; consult applicable state statutes:</w:t>
      </w:r>
    </w:p>
    <w:p>
      <w:pPr>
        <w:spacing w:before="60" w:after="60"/>
        <w:ind w:left="720"/>
      </w:pPr>
      <w:r>
        <w:rPr>
          <w:rFonts w:ascii="Times New Roman" w:hAnsi="Times New Roman"/>
          <w:b/>
          <w:sz w:val="24"/>
        </w:rPr>
        <w:t xml:space="preserve">6.1  </w:t>
      </w:r>
      <w:r>
        <w:rPr>
          <w:rFonts w:ascii="Times New Roman" w:hAnsi="Times New Roman"/>
          <w:sz w:val="24"/>
        </w:rPr>
        <w:t>Insurance Policies. To apply for, purchase, maintain, pay premiums on, and borrow against any life insurance policy owned by the Trust, and to exercise all ownership rights over such policies, including selecting dividend options, changing investment allocations for variable policies, and surrendering policies.</w:t>
      </w:r>
    </w:p>
    <w:p>
      <w:pPr>
        <w:spacing w:before="60" w:after="60"/>
        <w:ind w:left="720"/>
      </w:pPr>
      <w:r>
        <w:rPr>
          <w:rFonts w:ascii="Times New Roman" w:hAnsi="Times New Roman"/>
          <w:b/>
          <w:sz w:val="24"/>
        </w:rPr>
        <w:t xml:space="preserve">6.2  </w:t>
      </w:r>
      <w:r>
        <w:rPr>
          <w:rFonts w:ascii="Times New Roman" w:hAnsi="Times New Roman"/>
          <w:sz w:val="24"/>
        </w:rPr>
        <w:t>Collect Insurance Proceeds. Upon the Grantor's death, to collect all life insurance proceeds from any policy owned by the Trust and to execute all documents required by the insurance company to receive such proceeds.</w:t>
      </w:r>
    </w:p>
    <w:p>
      <w:pPr>
        <w:spacing w:before="60" w:after="60"/>
        <w:ind w:left="720"/>
      </w:pPr>
      <w:r>
        <w:rPr>
          <w:rFonts w:ascii="Times New Roman" w:hAnsi="Times New Roman"/>
          <w:b/>
          <w:sz w:val="24"/>
        </w:rPr>
        <w:t xml:space="preserve">6.3  </w:t>
      </w:r>
      <w:r>
        <w:rPr>
          <w:rFonts w:ascii="Times New Roman" w:hAnsi="Times New Roman"/>
          <w:sz w:val="24"/>
        </w:rPr>
        <w:t>Invest Proceeds. To invest the net death benefit proceeds in any investment the Trustee deems appropriate, pending distribution to beneficiaries.</w:t>
      </w:r>
    </w:p>
    <w:p>
      <w:pPr>
        <w:spacing w:before="60" w:after="60"/>
        <w:ind w:left="720"/>
      </w:pPr>
      <w:r>
        <w:rPr>
          <w:rFonts w:ascii="Times New Roman" w:hAnsi="Times New Roman"/>
          <w:b/>
          <w:sz w:val="24"/>
        </w:rPr>
        <w:t xml:space="preserve">6.4  </w:t>
      </w:r>
      <w:r>
        <w:rPr>
          <w:rFonts w:ascii="Times New Roman" w:hAnsi="Times New Roman"/>
          <w:sz w:val="24"/>
        </w:rPr>
        <w:t>Loan to Estate. To make loans to the Grantor's estate or to purchase assets from the Grantor's estate to provide liquidity for estate taxes, debts, and administration expenses, provided such transactions are at fair market value and on commercially reasonable terms.</w:t>
      </w:r>
    </w:p>
    <w:p>
      <w:pPr>
        <w:spacing w:before="60" w:after="60"/>
        <w:ind w:left="720"/>
      </w:pPr>
      <w:r>
        <w:rPr>
          <w:rFonts w:ascii="Times New Roman" w:hAnsi="Times New Roman"/>
          <w:b/>
          <w:sz w:val="24"/>
        </w:rPr>
        <w:t xml:space="preserve">6.5  </w:t>
      </w:r>
      <w:r>
        <w:rPr>
          <w:rFonts w:ascii="Times New Roman" w:hAnsi="Times New Roman"/>
          <w:sz w:val="24"/>
        </w:rPr>
        <w:t>Bank Accounts. To open and maintain Trust bank and investment accounts.</w:t>
      </w:r>
    </w:p>
    <w:p>
      <w:pPr>
        <w:spacing w:before="60" w:after="60"/>
        <w:ind w:left="720"/>
      </w:pPr>
      <w:r>
        <w:rPr>
          <w:rFonts w:ascii="Times New Roman" w:hAnsi="Times New Roman"/>
          <w:b/>
          <w:sz w:val="24"/>
        </w:rPr>
        <w:t xml:space="preserve">6.6  </w:t>
      </w:r>
      <w:r>
        <w:rPr>
          <w:rFonts w:ascii="Times New Roman" w:hAnsi="Times New Roman"/>
          <w:sz w:val="24"/>
        </w:rPr>
        <w:t>Employ Agents. To employ attorneys, accountants, investment advisors, and other professionals.</w:t>
      </w:r>
    </w:p>
    <w:p>
      <w:pPr>
        <w:spacing w:before="60" w:after="60"/>
        <w:ind w:left="720"/>
      </w:pPr>
      <w:r>
        <w:rPr>
          <w:rFonts w:ascii="Times New Roman" w:hAnsi="Times New Roman"/>
          <w:b/>
          <w:sz w:val="24"/>
        </w:rPr>
        <w:t xml:space="preserve">6.7  </w:t>
      </w:r>
      <w:r>
        <w:rPr>
          <w:rFonts w:ascii="Times New Roman" w:hAnsi="Times New Roman"/>
          <w:sz w:val="24"/>
        </w:rPr>
        <w:t>Sign Documents. To execute all insurance-related documents, assignments, change of ownership forms, and other instruments necessary for Trust administration.</w:t>
      </w:r>
    </w:p>
    <w:p>
      <w:pPr>
        <w:spacing w:before="60" w:after="60"/>
        <w:ind w:left="720"/>
      </w:pPr>
      <w:r>
        <w:rPr>
          <w:rFonts w:ascii="Times New Roman" w:hAnsi="Times New Roman"/>
          <w:b/>
          <w:sz w:val="24"/>
        </w:rPr>
        <w:t xml:space="preserve">6.8  </w:t>
      </w:r>
      <w:r>
        <w:rPr>
          <w:rFonts w:ascii="Times New Roman" w:hAnsi="Times New Roman"/>
          <w:sz w:val="24"/>
        </w:rPr>
        <w:t>Tax Returns. To prepare and file all required federal and United States (Universal) state tax returns for the Trust.</w:t>
      </w:r>
    </w:p>
    <w:p>
      <w:pPr>
        <w:spacing w:before="60" w:after="60"/>
        <w:ind w:left="720"/>
      </w:pPr>
      <w:r>
        <w:rPr>
          <w:rFonts w:ascii="Times New Roman" w:hAnsi="Times New Roman"/>
          <w:b/>
          <w:sz w:val="24"/>
        </w:rPr>
        <w:t xml:space="preserve">6.9  </w:t>
      </w:r>
      <w:r>
        <w:rPr>
          <w:rFonts w:ascii="Times New Roman" w:hAnsi="Times New Roman"/>
          <w:sz w:val="24"/>
        </w:rPr>
        <w:t>Distribute in Kind. To make distributions to beneficiaries in cash or in kind.</w:t>
      </w:r>
    </w:p>
    <w:p>
      <w:pPr>
        <w:spacing w:before="60" w:after="60"/>
        <w:ind w:left="720"/>
      </w:pPr>
      <w:r>
        <w:rPr>
          <w:rFonts w:ascii="Times New Roman" w:hAnsi="Times New Roman"/>
          <w:b/>
          <w:sz w:val="24"/>
        </w:rPr>
        <w:t xml:space="preserve">6.10  </w:t>
      </w:r>
      <w:r>
        <w:rPr>
          <w:rFonts w:ascii="Times New Roman" w:hAnsi="Times New Roman"/>
          <w:sz w:val="24"/>
        </w:rPr>
        <w:t>Annual Accounting. To furnish each adult beneficiary with an annual accounting within 90 days of calendar year end.</w:t>
      </w:r>
    </w:p>
    <w:p>
      <w:pPr>
        <w:spacing w:before="60" w:after="60"/>
        <w:ind w:left="720"/>
      </w:pPr>
      <w:r>
        <w:rPr>
          <w:rFonts w:ascii="Times New Roman" w:hAnsi="Times New Roman"/>
          <w:b/>
          <w:sz w:val="24"/>
        </w:rPr>
        <w:t xml:space="preserve">6.11  </w:t>
      </w:r>
      <w:r>
        <w:rPr>
          <w:rFonts w:ascii="Times New Roman" w:hAnsi="Times New Roman"/>
          <w:sz w:val="24"/>
        </w:rPr>
        <w:t>Crummey Notices. To timely send Crummey withdrawal notices to each Crummey Beneficiary upon each premium contribution to the Trust.</w:t>
      </w:r>
    </w:p>
    <w:p>
      <w:pPr>
        <w:spacing w:before="60" w:after="60"/>
        <w:ind w:left="720"/>
      </w:pPr>
      <w:r>
        <w:rPr>
          <w:rFonts w:ascii="Times New Roman" w:hAnsi="Times New Roman"/>
          <w:b/>
          <w:sz w:val="24"/>
        </w:rPr>
        <w:t xml:space="preserve">6.12  </w:t>
      </w:r>
      <w:r>
        <w:rPr>
          <w:rFonts w:ascii="Times New Roman" w:hAnsi="Times New Roman"/>
          <w:sz w:val="24"/>
        </w:rPr>
        <w:t>Maintain Policy. To take all actions necessary to maintain each life insurance policy in full force and effect, including timely payment of premiums.</w:t>
      </w:r>
    </w:p>
    <w:p>
      <w:pPr>
        <w:spacing w:before="60" w:after="60"/>
        <w:ind w:left="720"/>
      </w:pPr>
      <w:r>
        <w:rPr>
          <w:rFonts w:ascii="Times New Roman" w:hAnsi="Times New Roman"/>
          <w:b/>
          <w:sz w:val="24"/>
        </w:rPr>
        <w:t xml:space="preserve">6.13  </w:t>
      </w:r>
      <w:r>
        <w:rPr>
          <w:rFonts w:ascii="Times New Roman" w:hAnsi="Times New Roman"/>
          <w:sz w:val="24"/>
        </w:rPr>
        <w:t>Policy Loans. To borrow against the cash value of any life insurance policy for Trust purposes, provided such borrowing does not jeopardize the policy's death benefit.</w:t>
      </w:r>
    </w:p>
    <w:p>
      <w:pPr>
        <w:spacing w:before="60" w:after="60"/>
        <w:ind w:left="720"/>
      </w:pPr>
      <w:r>
        <w:rPr>
          <w:rFonts w:ascii="Times New Roman" w:hAnsi="Times New Roman"/>
          <w:b/>
          <w:sz w:val="24"/>
        </w:rPr>
        <w:t xml:space="preserve">6.14  </w:t>
      </w:r>
      <w:r>
        <w:rPr>
          <w:rFonts w:ascii="Times New Roman" w:hAnsi="Times New Roman"/>
          <w:sz w:val="24"/>
        </w:rPr>
        <w:t>Successor Trustee Transition. To cooperate in the transition of Trust administration to a Successor Trustee, including executing change of trustee forms for all policies.</w:t>
      </w:r>
    </w:p>
    <w:p>
      <w:pPr>
        <w:spacing w:before="60" w:after="60"/>
        <w:ind w:left="720"/>
      </w:pPr>
      <w:r>
        <w:rPr>
          <w:rFonts w:ascii="Times New Roman" w:hAnsi="Times New Roman"/>
          <w:b/>
          <w:sz w:val="24"/>
        </w:rPr>
        <w:t xml:space="preserve">6.15  </w:t>
      </w:r>
      <w:r>
        <w:rPr>
          <w:rFonts w:ascii="Times New Roman" w:hAnsi="Times New Roman"/>
          <w:sz w:val="24"/>
        </w:rPr>
        <w:t>Compromise Claims. To settle or abandon any claim by or against the Trust without court order.</w:t>
      </w:r>
    </w:p>
    <w:p>
      <w:pPr>
        <w:spacing w:before="240"/>
      </w:pPr>
      <w:r>
        <w:rPr>
          <w:rFonts w:ascii="Times New Roman" w:hAnsi="Times New Roman"/>
          <w:b/>
          <w:sz w:val="24"/>
        </w:rPr>
        <w:t>ARTICLE VII — DISTRIBUTION PROVISIONS</w:t>
      </w:r>
    </w:p>
    <w:p>
      <w:pPr>
        <w:spacing w:before="60" w:after="60"/>
        <w:ind w:left="720"/>
      </w:pPr>
      <w:r>
        <w:rPr>
          <w:rFonts w:ascii="Times New Roman" w:hAnsi="Times New Roman"/>
          <w:b/>
          <w:sz w:val="24"/>
        </w:rPr>
        <w:t xml:space="preserve">7.1  </w:t>
      </w:r>
      <w:r>
        <w:rPr>
          <w:rFonts w:ascii="Times New Roman" w:hAnsi="Times New Roman"/>
          <w:sz w:val="24"/>
        </w:rPr>
        <w:t>Distributions During Grantor's Lifetime. The Trustee shall not make any distribution to the Grantor or the Grantor's Spouse from this Trust during the Grantor's lifetime (unless the Grantor's Spouse is a named beneficiary and the distribution is consistent with IRC § 2042 compliance). Any distribution to the Grantor personally could cause the policy to be included in the Grantor's taxable estate.</w:t>
      </w:r>
    </w:p>
    <w:p>
      <w:pPr>
        <w:spacing w:before="60" w:after="60"/>
        <w:ind w:left="720"/>
      </w:pPr>
      <w:r>
        <w:rPr>
          <w:rFonts w:ascii="Times New Roman" w:hAnsi="Times New Roman"/>
          <w:b/>
          <w:sz w:val="24"/>
        </w:rPr>
        <w:t xml:space="preserve">7.2  </w:t>
      </w:r>
      <w:r>
        <w:rPr>
          <w:rFonts w:ascii="Times New Roman" w:hAnsi="Times New Roman"/>
          <w:sz w:val="24"/>
        </w:rPr>
        <w:t>Distributions to Beneficiaries During Grantor's Lifetime. The Trustee may, in the Trustee's sole discretion, distribute Trust income (if any) to or for the benefit of the current beneficiaries named below. Distributions of principal (including from policy cash values) should be made only after consulting with a tax advisor.</w:t>
      </w:r>
    </w:p>
    <w:p>
      <w:pPr>
        <w:spacing w:before="60" w:after="60"/>
        <w:ind w:left="720"/>
      </w:pPr>
      <w:r>
        <w:rPr>
          <w:rFonts w:ascii="Times New Roman" w:hAnsi="Times New Roman"/>
          <w:b/>
          <w:sz w:val="24"/>
        </w:rPr>
        <w:t xml:space="preserve">7.3  </w:t>
      </w:r>
      <w:r>
        <w:rPr>
          <w:rFonts w:ascii="Times New Roman" w:hAnsi="Times New Roman"/>
          <w:sz w:val="24"/>
        </w:rPr>
        <w:t>Distribution of Death Benefit at Grantor's Death. Upon the Grantor's death, the Trustee shall collect all life insurance proceeds and, after paying any Trust debts and administration expenses, shall distribute the net proceeds as follows:</w:t>
      </w:r>
    </w:p>
    <w:p>
      <w:pPr>
        <w:spacing w:before="60" w:after="60"/>
      </w:pPr>
      <w:r>
        <w:rPr>
          <w:rFonts w:ascii="Times New Roman" w:hAnsi="Times New Roman"/>
          <w:sz w:val="24"/>
        </w:rPr>
        <w:t xml:space="preserve">      Option A: ☐ OUTRIGHT to named beneficiaries per the percentages below:</w:t>
      </w:r>
    </w:p>
    <w:p>
      <w:pPr>
        <w:spacing w:before="60" w:after="60"/>
      </w:pPr>
      <w:r>
        <w:rPr>
          <w:rFonts w:ascii="Times New Roman" w:hAnsi="Times New Roman"/>
          <w:sz w:val="24"/>
        </w:rPr>
        <w:t xml:space="preserve">         Beneficiary 1: ________________________________  Share: _______%</w:t>
      </w:r>
    </w:p>
    <w:p>
      <w:pPr>
        <w:spacing w:before="60" w:after="60"/>
      </w:pPr>
      <w:r>
        <w:rPr>
          <w:rFonts w:ascii="Times New Roman" w:hAnsi="Times New Roman"/>
          <w:sz w:val="24"/>
        </w:rPr>
        <w:t xml:space="preserve">         Beneficiary 2: ________________________________  Share: _______%</w:t>
      </w:r>
    </w:p>
    <w:p>
      <w:pPr>
        <w:spacing w:before="60" w:after="60"/>
      </w:pPr>
      <w:r>
        <w:rPr>
          <w:rFonts w:ascii="Times New Roman" w:hAnsi="Times New Roman"/>
          <w:sz w:val="24"/>
        </w:rPr>
        <w:t xml:space="preserve">         Beneficiary 3: ________________________________  Share: _______%</w:t>
      </w:r>
    </w:p>
    <w:p>
      <w:pPr>
        <w:spacing w:before="40" w:after="40"/>
      </w:pPr>
    </w:p>
    <w:p>
      <w:pPr>
        <w:spacing w:before="60" w:after="60"/>
      </w:pPr>
      <w:r>
        <w:rPr>
          <w:rFonts w:ascii="Times New Roman" w:hAnsi="Times New Roman"/>
          <w:sz w:val="24"/>
        </w:rPr>
        <w:t xml:space="preserve">      Option B: ☐ STAGGERED distributions: 1/3 at age 25, 1/3 at age 30, balance at age 35.</w:t>
      </w:r>
    </w:p>
    <w:p>
      <w:pPr>
        <w:spacing w:before="40" w:after="40"/>
      </w:pPr>
    </w:p>
    <w:p>
      <w:pPr>
        <w:spacing w:before="60" w:after="60"/>
      </w:pPr>
      <w:r>
        <w:rPr>
          <w:rFonts w:ascii="Times New Roman" w:hAnsi="Times New Roman"/>
          <w:sz w:val="24"/>
        </w:rPr>
        <w:t xml:space="preserve">      Option C: ☐ HELD in trust for beneficiaries' health, education, maintenance, and support.</w:t>
      </w:r>
    </w:p>
    <w:p>
      <w:pPr>
        <w:spacing w:before="60" w:after="60"/>
        <w:ind w:left="720"/>
      </w:pPr>
      <w:r>
        <w:rPr>
          <w:rFonts w:ascii="Times New Roman" w:hAnsi="Times New Roman"/>
          <w:b/>
          <w:sz w:val="24"/>
        </w:rPr>
        <w:t xml:space="preserve">7.4  </w:t>
      </w:r>
      <w:r>
        <w:rPr>
          <w:rFonts w:ascii="Times New Roman" w:hAnsi="Times New Roman"/>
          <w:sz w:val="24"/>
        </w:rPr>
        <w:t>Marital Trust Optional Sub-Trust. If the Grantor's Spouse survives the Grantor and the Grantor desires to provide for the Spouse, the Grantor may elect (by marking below) to have a portion of the death benefit held in a marital sub-trust for the Spouse's lifetime benefit: ☐ YES — Hold ______% of proceeds in Marital Sub-Trust for Spouse; ☐ NO — Distribute all proceeds per the options above.</w:t>
      </w:r>
    </w:p>
    <w:p>
      <w:pPr>
        <w:spacing w:before="60" w:after="60"/>
        <w:ind w:left="720"/>
      </w:pPr>
      <w:r>
        <w:rPr>
          <w:rFonts w:ascii="Times New Roman" w:hAnsi="Times New Roman"/>
          <w:b/>
          <w:sz w:val="24"/>
        </w:rPr>
        <w:t xml:space="preserve">7.5  </w:t>
      </w:r>
      <w:r>
        <w:rPr>
          <w:rFonts w:ascii="Times New Roman" w:hAnsi="Times New Roman"/>
          <w:sz w:val="24"/>
        </w:rPr>
        <w:t>Trust for Minor Beneficiaries. If any beneficiary is under age 18 at the time of distribution, the Trustee shall hold such beneficiary's share in trust for the beneficiary's benefit until age 25 (or such other age as specified), distributing income and principal for health, education, maintenance, and support.</w:t>
      </w:r>
    </w:p>
    <w:p>
      <w:pPr>
        <w:spacing w:before="240"/>
      </w:pPr>
      <w:r>
        <w:rPr>
          <w:rFonts w:ascii="Times New Roman" w:hAnsi="Times New Roman"/>
          <w:b/>
          <w:sz w:val="24"/>
        </w:rPr>
        <w:t>ARTICLE VIII — TRUST PROTECTOR AND GOVERNING LAW</w:t>
      </w:r>
    </w:p>
    <w:p>
      <w:pPr>
        <w:spacing w:before="60" w:after="60"/>
        <w:ind w:left="720"/>
      </w:pPr>
      <w:r>
        <w:rPr>
          <w:rFonts w:ascii="Times New Roman" w:hAnsi="Times New Roman"/>
          <w:b/>
          <w:sz w:val="24"/>
        </w:rPr>
        <w:t xml:space="preserve">8.1  </w:t>
      </w:r>
      <w:r>
        <w:rPr>
          <w:rFonts w:ascii="Times New Roman" w:hAnsi="Times New Roman"/>
          <w:sz w:val="24"/>
        </w:rPr>
        <w:t>Trust Protector. I hereby appoint ________________________________ as Trust Protector to oversee Trust administration, with power to: (a) remove and replace the Trustee; (b) approve Trust modifications; (c) add or modify beneficiaries within a defined class.</w:t>
      </w:r>
    </w:p>
    <w:p>
      <w:pPr>
        <w:spacing w:before="60" w:after="60"/>
        <w:ind w:left="720"/>
      </w:pPr>
      <w:r>
        <w:rPr>
          <w:rFonts w:ascii="Times New Roman" w:hAnsi="Times New Roman"/>
          <w:b/>
          <w:sz w:val="24"/>
        </w:rPr>
        <w:t xml:space="preserve">8.2  </w:t>
      </w:r>
      <w:r>
        <w:rPr>
          <w:rFonts w:ascii="Times New Roman" w:hAnsi="Times New Roman"/>
          <w:sz w:val="24"/>
        </w:rPr>
        <w:t>Governing Law. This Trust shall be governed by the laws of the State of United States (Universal), including Uniform Trust Code (UTC) as adopted in your state; consult applicable state statutes.</w:t>
      </w:r>
    </w:p>
    <w:p>
      <w:pPr>
        <w:spacing w:before="240"/>
      </w:pPr>
      <w:r>
        <w:rPr>
          <w:rFonts w:ascii="Times New Roman" w:hAnsi="Times New Roman"/>
          <w:b/>
          <w:sz w:val="24"/>
        </w:rPr>
        <w:t>ARTICLE IX — TAX COMPLIANCE — FORM 709 GIFT TAX REPORTING</w:t>
      </w:r>
    </w:p>
    <w:p>
      <w:pPr>
        <w:spacing w:before="60" w:after="60"/>
        <w:ind w:left="720"/>
      </w:pPr>
      <w:r>
        <w:rPr>
          <w:rFonts w:ascii="Times New Roman" w:hAnsi="Times New Roman"/>
          <w:b/>
          <w:sz w:val="24"/>
        </w:rPr>
        <w:t xml:space="preserve">9.1  </w:t>
      </w:r>
      <w:r>
        <w:rPr>
          <w:rFonts w:ascii="Times New Roman" w:hAnsi="Times New Roman"/>
          <w:sz w:val="24"/>
        </w:rPr>
        <w:t>Form 709 Filing. The Grantor is responsible for filing a federal gift tax return (Form 709) each year contributions are made to this Trust. The Grantor's tax advisor shall report each contribution, the Crummey withdrawal rights, and any GST exemption allocations on Form 709.</w:t>
      </w:r>
    </w:p>
    <w:p>
      <w:pPr>
        <w:spacing w:before="60" w:after="60"/>
        <w:ind w:left="720"/>
      </w:pPr>
      <w:r>
        <w:rPr>
          <w:rFonts w:ascii="Times New Roman" w:hAnsi="Times New Roman"/>
          <w:b/>
          <w:sz w:val="24"/>
        </w:rPr>
        <w:t xml:space="preserve">9.2  </w:t>
      </w:r>
      <w:r>
        <w:rPr>
          <w:rFonts w:ascii="Times New Roman" w:hAnsi="Times New Roman"/>
          <w:sz w:val="24"/>
        </w:rPr>
        <w:t>Annual Exclusion Qualification. Each contribution qualifies for the annual exclusion only if: (a) Crummey notices are properly and timely sent to all Crummey Beneficiaries; (b) the withdrawal right is genuine and not illusory; and (c) the beneficiaries have a reasonable opportunity to exercise the withdrawal right.</w:t>
      </w:r>
    </w:p>
    <w:p>
      <w:pPr>
        <w:spacing w:before="240"/>
      </w:pPr>
      <w:r>
        <w:rPr>
          <w:rFonts w:ascii="Times New Roman" w:hAnsi="Times New Roman"/>
          <w:b/>
          <w:sz w:val="24"/>
        </w:rPr>
        <w:t>ARTICLE X — EXECUTION AND TRUSTEE ACCEPTANCE</w:t>
      </w:r>
    </w:p>
    <w:p>
      <w:pPr>
        <w:spacing w:before="40" w:after="40"/>
      </w:pPr>
    </w:p>
    <w:p>
      <w:pPr>
        <w:spacing w:before="60" w:after="60"/>
      </w:pPr>
      <w:r>
        <w:rPr>
          <w:rFonts w:ascii="Times New Roman" w:hAnsi="Times New Roman"/>
          <w:sz w:val="24"/>
        </w:rPr>
        <w:t>IN WITNESS WHEREOF, the Grantor and Trustee have executed this ILIT Agreement.</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Grantor's Signature</w:t>
      </w:r>
    </w:p>
    <w:p>
      <w:pPr>
        <w:spacing w:before="80"/>
      </w:pPr>
      <w:r>
        <w:rPr>
          <w:rFonts w:ascii="Times New Roman" w:hAnsi="Times New Roman"/>
          <w:b/>
          <w:sz w:val="24"/>
        </w:rPr>
        <w:t xml:space="preserve">Grantor's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(Grantor), acknowledged execution of this ILIT.</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Independent Trustee's Signature</w:t>
      </w:r>
    </w:p>
    <w:p>
      <w:pPr>
        <w:spacing w:before="80"/>
      </w:pPr>
      <w:r>
        <w:rPr>
          <w:rFonts w:ascii="Times New Roman" w:hAnsi="Times New Roman"/>
          <w:b/>
          <w:sz w:val="24"/>
        </w:rPr>
        <w:t xml:space="preserve">Trustee's 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(Trustee), acknowledged acceptance of appointment as Trustee.</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ATTORNEY / DRAFTING NOTES — ILIT</w:t>
      </w:r>
    </w:p>
    <w:p>
      <w:pPr>
        <w:spacing w:before="60" w:after="60"/>
        <w:ind w:left="720"/>
      </w:pPr>
      <w:r>
        <w:rPr>
          <w:rFonts w:ascii="Times New Roman" w:hAnsi="Times New Roman"/>
          <w:b/>
          <w:sz w:val="24"/>
        </w:rPr>
        <w:t xml:space="preserve">•  </w:t>
      </w:r>
      <w:r>
        <w:rPr>
          <w:rFonts w:ascii="Times New Roman" w:hAnsi="Times New Roman"/>
          <w:sz w:val="24"/>
        </w:rPr>
        <w:t>IRC § 2042: The Grantor MUST retain zero incidents of ownership. Any retained ownership rights (right to change beneficiary, borrow against policy, assign policy) will cause the death benefit to be included in the taxable estate.</w:t>
      </w:r>
    </w:p>
    <w:p>
      <w:pPr>
        <w:spacing w:before="60" w:after="60"/>
        <w:ind w:left="720"/>
      </w:pPr>
      <w:r>
        <w:rPr>
          <w:rFonts w:ascii="Times New Roman" w:hAnsi="Times New Roman"/>
          <w:b/>
          <w:sz w:val="24"/>
        </w:rPr>
        <w:t xml:space="preserve">•  </w:t>
      </w:r>
      <w:r>
        <w:rPr>
          <w:rFonts w:ascii="Times New Roman" w:hAnsi="Times New Roman"/>
          <w:sz w:val="24"/>
        </w:rPr>
        <w:t>IRC § 2035 Three-Year Rule: If the Grantor transfers an EXISTING policy to the Trust and dies within 3 years, the proceeds are included in the estate. Have the Trust apply for NEW policies to avoid this risk.</w:t>
      </w:r>
    </w:p>
    <w:p>
      <w:pPr>
        <w:spacing w:before="60" w:after="60"/>
        <w:ind w:left="720"/>
      </w:pPr>
      <w:r>
        <w:rPr>
          <w:rFonts w:ascii="Times New Roman" w:hAnsi="Times New Roman"/>
          <w:b/>
          <w:sz w:val="24"/>
        </w:rPr>
        <w:t xml:space="preserve">•  </w:t>
      </w:r>
      <w:r>
        <w:rPr>
          <w:rFonts w:ascii="Times New Roman" w:hAnsi="Times New Roman"/>
          <w:sz w:val="24"/>
        </w:rPr>
        <w:t>Crummey Notices: Crummey notices are LEGALLY REQUIRED for each premium contribution to qualify for the annual gift tax exclusion. Failure to send notices is one of the most common ILIT administration errors. Document all notices in the Trust's records.</w:t>
      </w:r>
    </w:p>
    <w:p>
      <w:pPr>
        <w:spacing w:before="60" w:after="60"/>
        <w:ind w:left="720"/>
      </w:pPr>
      <w:r>
        <w:rPr>
          <w:rFonts w:ascii="Times New Roman" w:hAnsi="Times New Roman"/>
          <w:b/>
          <w:sz w:val="24"/>
        </w:rPr>
        <w:t xml:space="preserve">•  </w:t>
      </w:r>
      <w:r>
        <w:rPr>
          <w:rFonts w:ascii="Times New Roman" w:hAnsi="Times New Roman"/>
          <w:sz w:val="24"/>
        </w:rPr>
        <w:t>Form 709: Annual gift tax returns are required even when no gift tax is owed, as long as contributions are made. The Grantor's tax advisor must file Form 709 each year. GST exemption should be allocated on Form 709.</w:t>
      </w:r>
    </w:p>
    <w:p>
      <w:pPr>
        <w:spacing w:before="60" w:after="60"/>
        <w:ind w:left="720"/>
      </w:pPr>
      <w:r>
        <w:rPr>
          <w:rFonts w:ascii="Times New Roman" w:hAnsi="Times New Roman"/>
          <w:b/>
          <w:sz w:val="24"/>
        </w:rPr>
        <w:t xml:space="preserve">•  </w:t>
      </w:r>
      <w:r>
        <w:rPr>
          <w:rFonts w:ascii="Times New Roman" w:hAnsi="Times New Roman"/>
          <w:sz w:val="24"/>
        </w:rPr>
        <w:t>United States (Universal) Trust Code: This ILIT is also governed by Uniform Trust Code (UTC) as adopted in your state; consult applicable state statutes. Trustee duties under United States (Universal) law apply in addition to the specific ILIT provisions.</w:t>
      </w:r>
    </w:p>
    <w:p>
      <w:pPr>
        <w:spacing w:before="60" w:after="60"/>
        <w:ind w:left="720"/>
      </w:pPr>
      <w:r>
        <w:rPr>
          <w:rFonts w:ascii="Times New Roman" w:hAnsi="Times New Roman"/>
          <w:b/>
          <w:sz w:val="24"/>
        </w:rPr>
        <w:t xml:space="preserve">•  </w:t>
      </w:r>
      <w:r>
        <w:rPr>
          <w:rFonts w:ascii="Times New Roman" w:hAnsi="Times New Roman"/>
          <w:sz w:val="24"/>
        </w:rPr>
        <w:t>Policy Ownership Change Form: The insurance company's Change of Ownership form must be completed to transfer existing policies to the Trust. This is a separate document provided by the insurer.</w:t>
      </w:r>
    </w:p>
    <w:p>
      <w:pPr>
        <w:spacing w:before="60" w:after="60"/>
        <w:ind w:left="720"/>
      </w:pPr>
      <w:r>
        <w:rPr>
          <w:rFonts w:ascii="Times New Roman" w:hAnsi="Times New Roman"/>
          <w:b/>
          <w:sz w:val="24"/>
        </w:rPr>
        <w:t xml:space="preserve">•  </w:t>
      </w:r>
      <w:r>
        <w:rPr>
          <w:rFonts w:ascii="Times New Roman" w:hAnsi="Times New Roman"/>
          <w:sz w:val="24"/>
        </w:rPr>
        <w:t>Independent Trustee: The Trustee must be truly independent. The Grantor's spouse may serve, but this creates some risk if the spouse predeceases the Grantor. Consider a professional or independent family member as Trustee.</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Irrevocable Life Insurance Trust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Irrevocable Life Insurance Trust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