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DOMESTIC ASSET PROTECTION TRUST (DAPT)</w:t>
      </w:r>
    </w:p>
    <w:p>
      <w:pPr>
        <w:jc w:val="center"/>
      </w:pPr>
      <w:r>
        <w:rPr>
          <w:rFonts w:ascii="Times New Roman" w:hAnsi="Times New Roman"/>
          <w:b w:val="0"/>
          <w:sz w:val="24"/>
        </w:rPr>
        <w:t>(Self-Settled Spendthrift Trust — Domestic Asset Protection Trust statutes exist in approximately 20 states. Consu...)</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template is for educational and informational purposes only. No attorney-client relationship is formed. A Domestic Asset Protection Trust (DAPT) has significant legal consequences. Asset protection trusts are complex; their effectiveness depends on jurisdiction-specific requirements and the absence of fraudulent intent. Review with a licensed attorney experienced in asset protection planning before signing. Domestic Asset Protection Trust statutes exist in approximately 20 states. Consult your state's specific statutes. If your state does not have a DAPT statute, you may establish a DAPT in a favorable jurisdiction such as Alaska, Delaware, Nevada, or South Dakota.</w:t>
      </w:r>
    </w:p>
    <w:p>
      <w:r>
        <w:br w:type="page"/>
      </w:r>
    </w:p>
    <w:p>
      <w:pPr>
        <w:jc w:val="center"/>
      </w:pPr>
      <w:r>
        <w:rPr>
          <w:rFonts w:ascii="Times New Roman" w:hAnsi="Times New Roman"/>
          <w:b/>
          <w:sz w:val="28"/>
        </w:rPr>
        <w:t>UNITED STATES (UNIVERSAL) DOMESTIC ASSET PROTECTION TRUST AGREEMENT</w:t>
      </w:r>
    </w:p>
    <w:p>
      <w:pPr>
        <w:spacing w:before="40" w:after="40"/>
      </w:pPr>
    </w:p>
    <w:p>
      <w:pPr>
        <w:spacing w:before="60" w:after="60"/>
      </w:pPr>
      <w:r>
        <w:rPr>
          <w:rFonts w:ascii="Times New Roman" w:hAnsi="Times New Roman"/>
          <w:sz w:val="24"/>
        </w:rPr>
        <w:t>This Domestic Asset Protection Trust Agreement ("Trust") is entered into this _____ day of __________________, 20____, by ________________________________ ("Settlor"), of __________________________ County, United States (Universal), and ________________________________ ("Qualified Trustee").</w:t>
      </w:r>
    </w:p>
    <w:p>
      <w:pPr>
        <w:spacing w:before="40" w:after="40"/>
      </w:pPr>
    </w:p>
    <w:p>
      <w:pPr>
        <w:spacing w:before="80"/>
      </w:pPr>
      <w:r>
        <w:rPr>
          <w:rFonts w:ascii="Times New Roman" w:hAnsi="Times New Roman"/>
          <w:b/>
          <w:sz w:val="24"/>
        </w:rPr>
        <w:t xml:space="preserve">Settlor's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Settlor's address:  </w:t>
      </w:r>
      <w:r>
        <w:rPr>
          <w:rFonts w:ascii="Times New Roman" w:hAnsi="Times New Roman"/>
          <w:sz w:val="24"/>
        </w:rPr>
        <w:t>_______________________________________________</w:t>
      </w:r>
    </w:p>
    <w:p>
      <w:pPr>
        <w:spacing w:before="80"/>
      </w:pPr>
      <w:r>
        <w:rPr>
          <w:rFonts w:ascii="Times New Roman" w:hAnsi="Times New Roman"/>
          <w:b/>
          <w:sz w:val="24"/>
        </w:rPr>
        <w:t xml:space="preserve">Qualified Trustee (independent — must meet DAPT jurisdiction requirements):  </w:t>
      </w:r>
      <w:r>
        <w:rPr>
          <w:rFonts w:ascii="Times New Roman" w:hAnsi="Times New Roman"/>
          <w:sz w:val="24"/>
        </w:rPr>
        <w:t>_______________________________________________</w:t>
      </w:r>
    </w:p>
    <w:p>
      <w:pPr>
        <w:spacing w:before="80"/>
      </w:pPr>
      <w:r>
        <w:rPr>
          <w:rFonts w:ascii="Times New Roman" w:hAnsi="Times New Roman"/>
          <w:b/>
          <w:sz w:val="24"/>
        </w:rPr>
        <w:t xml:space="preserve">Qualified Trustee's address (must be in DAPT jurisdiction):  </w:t>
      </w:r>
      <w:r>
        <w:rPr>
          <w:rFonts w:ascii="Times New Roman" w:hAnsi="Times New Roman"/>
          <w:sz w:val="24"/>
        </w:rPr>
        <w:t>_______________________________________________</w:t>
      </w:r>
    </w:p>
    <w:p>
      <w:pPr>
        <w:spacing w:before="240"/>
      </w:pPr>
      <w:r>
        <w:rPr>
          <w:rFonts w:ascii="Times New Roman" w:hAnsi="Times New Roman"/>
          <w:b/>
          <w:sz w:val="24"/>
        </w:rPr>
        <w:t>ARTICLE I — SELF-SETTLED SPENDTHRIFT TRUST STRUCTURE</w:t>
      </w:r>
    </w:p>
    <w:p>
      <w:pPr>
        <w:spacing w:before="60" w:after="60"/>
        <w:ind w:left="720"/>
      </w:pPr>
      <w:r>
        <w:rPr>
          <w:rFonts w:ascii="Times New Roman" w:hAnsi="Times New Roman"/>
          <w:b/>
          <w:sz w:val="24"/>
        </w:rPr>
        <w:t xml:space="preserve">1.1  </w:t>
      </w:r>
      <w:r>
        <w:rPr>
          <w:rFonts w:ascii="Times New Roman" w:hAnsi="Times New Roman"/>
          <w:sz w:val="24"/>
        </w:rPr>
        <w:t>Trust Creation. The Settlor hereby establishes this irrevocable Domestic Asset Protection Trust ("DAPT") pursuant to the applicable self-settled spendthrift trust statutes. This Trust is structured as a 'self-settled spendthrift trust,' meaning the Settlor may be included as a discretionary beneficiary while the Trust provides creditor protection to the maximum extent permitted by applicable law.</w:t>
      </w:r>
    </w:p>
    <w:p>
      <w:pPr>
        <w:spacing w:before="60" w:after="60"/>
        <w:ind w:left="720"/>
      </w:pPr>
      <w:r>
        <w:rPr>
          <w:rFonts w:ascii="Times New Roman" w:hAnsi="Times New Roman"/>
          <w:b/>
          <w:sz w:val="24"/>
        </w:rPr>
        <w:t xml:space="preserve">1.2  </w:t>
      </w:r>
      <w:r>
        <w:rPr>
          <w:rFonts w:ascii="Times New Roman" w:hAnsi="Times New Roman"/>
          <w:sz w:val="24"/>
        </w:rPr>
        <w:t>DAPT Structure. This DAPT is structured to comply with the requirements of applicable DAPT statutes. The essential elements of this DAPT are: (a) the Trust is irrevocable; (b) the Trust contains a valid spendthrift provision; (c) the Settlor may be a discretionary beneficiary; (d) a Qualified Trustee serves as trustee; and (e) the Trust's assets, administration, and governing law satisfy applicable DAPT jurisdiction requirements.</w:t>
      </w:r>
    </w:p>
    <w:p>
      <w:pPr>
        <w:spacing w:before="60" w:after="60"/>
        <w:ind w:left="720"/>
      </w:pPr>
      <w:r>
        <w:rPr>
          <w:rFonts w:ascii="Times New Roman" w:hAnsi="Times New Roman"/>
          <w:b/>
          <w:sz w:val="24"/>
        </w:rPr>
        <w:t xml:space="preserve">1.3  </w:t>
      </w:r>
      <w:r>
        <w:rPr>
          <w:rFonts w:ascii="Times New Roman" w:hAnsi="Times New Roman"/>
          <w:sz w:val="24"/>
        </w:rPr>
        <w:t>Qualified Trustee Requirements. The "Qualified Trustee" of this DAPT must: (a) be a resident of the applicable DAPT jurisdiction, or a financial institution qualified to do business in such jurisdiction; (b) maintain or arrange for custody of at least some Trust assets in the DAPT jurisdiction; (c) maintain the Trust's records in the DAPT jurisdiction; and (d) prepare and file tax returns for the Trust in the DAPT jurisdiction. If the Trustee named above does not meet these requirements, this Trust is not a valid DAPT.</w:t>
      </w:r>
    </w:p>
    <w:p>
      <w:pPr>
        <w:spacing w:before="60" w:after="60"/>
        <w:ind w:left="720"/>
      </w:pPr>
      <w:r>
        <w:rPr>
          <w:rFonts w:ascii="Times New Roman" w:hAnsi="Times New Roman"/>
          <w:b/>
          <w:sz w:val="24"/>
        </w:rPr>
        <w:t xml:space="preserve">1.4  </w:t>
      </w:r>
      <w:r>
        <w:rPr>
          <w:rFonts w:ascii="Times New Roman" w:hAnsi="Times New Roman"/>
          <w:sz w:val="24"/>
        </w:rPr>
        <w:t>DAPT Jurisdiction. The applicable DAPT statute and jurisdiction for this Trust is: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1.5  </w:t>
      </w:r>
      <w:r>
        <w:rPr>
          <w:rFonts w:ascii="Times New Roman" w:hAnsi="Times New Roman"/>
          <w:sz w:val="24"/>
        </w:rPr>
        <w:t>Governing Law — DAPT Jurisdiction. This Trust shall be governed by the laws of the DAPT jurisdiction specified in Section 1.4, not the laws of the Settlor's home state, to the extent that the DAPT jurisdiction's laws differ from the Settlor's home state laws regarding self-settled spendthrift trusts. The choice of DAPT jurisdiction law shall govern all questions of trust administration, the validity and enforcement of the spendthrift provision, and creditor rights.</w:t>
      </w:r>
    </w:p>
    <w:p>
      <w:pPr>
        <w:spacing w:before="240"/>
      </w:pPr>
      <w:r>
        <w:rPr>
          <w:rFonts w:ascii="Times New Roman" w:hAnsi="Times New Roman"/>
          <w:b/>
          <w:sz w:val="24"/>
        </w:rPr>
        <w:t>ARTICLE II — SETTLOR AS DISCRETIONARY BENEFICIARY</w:t>
      </w:r>
    </w:p>
    <w:p>
      <w:pPr>
        <w:spacing w:before="60" w:after="60"/>
        <w:ind w:left="720"/>
      </w:pPr>
      <w:r>
        <w:rPr>
          <w:rFonts w:ascii="Times New Roman" w:hAnsi="Times New Roman"/>
          <w:b/>
          <w:sz w:val="24"/>
        </w:rPr>
        <w:t xml:space="preserve">2.1  </w:t>
      </w:r>
      <w:r>
        <w:rPr>
          <w:rFonts w:ascii="Times New Roman" w:hAnsi="Times New Roman"/>
          <w:sz w:val="24"/>
        </w:rPr>
        <w:t>Settlor as Discretionary Beneficiary. The Settlor is hereby designated as a discretionary beneficiary of this Trust. The Qualified Trustee may, in the Trustee's sole and absolute discretion, distribute Trust income and/or principal to or for the benefit of the Settlor for any reason or no reason. The Settlor has no enforceable right to receive any distribution from the Trust, and no creditor of the Settlor may compel a distribution from the Trust.</w:t>
      </w:r>
    </w:p>
    <w:p>
      <w:pPr>
        <w:spacing w:before="60" w:after="60"/>
        <w:ind w:left="720"/>
      </w:pPr>
      <w:r>
        <w:rPr>
          <w:rFonts w:ascii="Times New Roman" w:hAnsi="Times New Roman"/>
          <w:b/>
          <w:sz w:val="24"/>
        </w:rPr>
        <w:t xml:space="preserve">2.2  </w:t>
      </w:r>
      <w:r>
        <w:rPr>
          <w:rFonts w:ascii="Times New Roman" w:hAnsi="Times New Roman"/>
          <w:sz w:val="24"/>
        </w:rPr>
        <w:t>Settlor's Retained Rights — Limited. The Settlor retains the following limited rights consistent with DAPT requirements: (a) the right to receive discretionary distributions in the Trustee's sole discretion; (b) a limited testamentary power of appointment over Trust principal, exercisable only by will among a defined class of permissible appointees; (c) the right to veto distributions to other beneficiaries (initial here if desired: _____).</w:t>
      </w:r>
    </w:p>
    <w:p>
      <w:pPr>
        <w:spacing w:before="60" w:after="60"/>
        <w:ind w:left="720"/>
      </w:pPr>
      <w:r>
        <w:rPr>
          <w:rFonts w:ascii="Times New Roman" w:hAnsi="Times New Roman"/>
          <w:b/>
          <w:sz w:val="24"/>
        </w:rPr>
        <w:t xml:space="preserve">2.3  </w:t>
      </w:r>
      <w:r>
        <w:rPr>
          <w:rFonts w:ascii="Times New Roman" w:hAnsi="Times New Roman"/>
          <w:sz w:val="24"/>
        </w:rPr>
        <w:t>Settlor as Co-Trustee — Prohibition. The Settlor shall NOT serve as Trustee or Co-Trustee of this Trust, as doing so would likely eliminate the Trust's asset protection benefits by treating Trust assets as effectively within the Settlor's control.</w:t>
      </w:r>
    </w:p>
    <w:p>
      <w:pPr>
        <w:spacing w:before="240"/>
      </w:pPr>
      <w:r>
        <w:rPr>
          <w:rFonts w:ascii="Times New Roman" w:hAnsi="Times New Roman"/>
          <w:b/>
          <w:sz w:val="24"/>
        </w:rPr>
        <w:t>ARTICLE III — SOLVENCY AFFIDAVIT — REQUIRED</w:t>
      </w:r>
    </w:p>
    <w:p>
      <w:pPr>
        <w:spacing w:before="60" w:after="60"/>
        <w:ind w:left="720"/>
      </w:pPr>
      <w:r>
        <w:rPr>
          <w:rFonts w:ascii="Times New Roman" w:hAnsi="Times New Roman"/>
          <w:b/>
          <w:sz w:val="24"/>
        </w:rPr>
        <w:t xml:space="preserve">3.1  </w:t>
      </w:r>
      <w:r>
        <w:rPr>
          <w:rFonts w:ascii="Times New Roman" w:hAnsi="Times New Roman"/>
          <w:sz w:val="24"/>
        </w:rPr>
        <w:t>Solvency Affidavit Requirement. Concurrently with the execution of this Trust, the Settlor MUST execute a Solvency Affidavit (attached as Exhibit A) certifying that: (a) the Settlor is not transferring property to the Trust with actual intent to defraud any creditor; (b) the Settlor has no pending or threatened lawsuits, judgments, or creditor claims, EXCEPT as specifically disclosed in the Affidavit; (c) the Settlor is not in financial distress and will not become insolvent as a result of the transfer; and (d) the transfer to the Trust will not render the Settlor unable to pay debts as they become due.</w:t>
      </w:r>
    </w:p>
    <w:p>
      <w:pPr>
        <w:spacing w:before="60" w:after="60"/>
        <w:ind w:left="720"/>
      </w:pPr>
      <w:r>
        <w:rPr>
          <w:rFonts w:ascii="Times New Roman" w:hAnsi="Times New Roman"/>
          <w:b/>
          <w:sz w:val="24"/>
        </w:rPr>
        <w:t xml:space="preserve">3.2  </w:t>
      </w:r>
      <w:r>
        <w:rPr>
          <w:rFonts w:ascii="Times New Roman" w:hAnsi="Times New Roman"/>
          <w:sz w:val="24"/>
        </w:rPr>
        <w:t>Consequences of Inaccurate Solvency Affidavit. An inaccurate or false Solvency Affidavit may expose the Settlor to personal liability, defeat the asset protection purposes of the Trust, and may constitute fraud. The Settlor should consult with independent legal counsel before executing the Solvency Affidavit.</w:t>
      </w:r>
    </w:p>
    <w:p>
      <w:pPr>
        <w:spacing w:before="240"/>
      </w:pPr>
      <w:r>
        <w:rPr>
          <w:rFonts w:ascii="Times New Roman" w:hAnsi="Times New Roman"/>
          <w:b/>
          <w:sz w:val="24"/>
        </w:rPr>
        <w:t>ARTICLE IV — STATUTE OF LIMITATIONS AND LOOKBACK PERIOD</w:t>
      </w:r>
    </w:p>
    <w:p>
      <w:pPr>
        <w:spacing w:before="60" w:after="60"/>
        <w:ind w:left="720"/>
      </w:pPr>
      <w:r>
        <w:rPr>
          <w:rFonts w:ascii="Times New Roman" w:hAnsi="Times New Roman"/>
          <w:b/>
          <w:sz w:val="24"/>
        </w:rPr>
        <w:t xml:space="preserve">4.1  </w:t>
      </w:r>
      <w:r>
        <w:rPr>
          <w:rFonts w:ascii="Times New Roman" w:hAnsi="Times New Roman"/>
          <w:sz w:val="24"/>
        </w:rPr>
        <w:t>DAPT Statute of Limitations. Under applicable DAPT statutes, creditors have a limited time within which to challenge a qualified disposition to this Trust. The applicable statute of limitations under the DAPT statute is: Domestic Asset Protection Trust statutes exist in approximately 20 states. Consult your state's specific statutes. If your state does not have a DAPT statute, you may establish a DAPT in a favorable jurisdiction such as Alaska, Delaware, Nevada, or South Dakota.. After the applicable limitations period, claims against Trust assets by pre-transfer creditors are generally barred.</w:t>
      </w:r>
    </w:p>
    <w:p>
      <w:pPr>
        <w:spacing w:before="60" w:after="60"/>
        <w:ind w:left="720"/>
      </w:pPr>
      <w:r>
        <w:rPr>
          <w:rFonts w:ascii="Times New Roman" w:hAnsi="Times New Roman"/>
          <w:b/>
          <w:sz w:val="24"/>
        </w:rPr>
        <w:t xml:space="preserve">4.2  </w:t>
      </w:r>
      <w:r>
        <w:rPr>
          <w:rFonts w:ascii="Times New Roman" w:hAnsi="Times New Roman"/>
          <w:sz w:val="24"/>
        </w:rPr>
        <w:t>Existing Creditors. For creditors who exist BEFORE the transfer to the Trust, the statute of limitations begins to run from the date the creditor discovers or reasonably could have discovered the transfer, or from the date of the transfer, whichever is later.</w:t>
      </w:r>
    </w:p>
    <w:p>
      <w:pPr>
        <w:spacing w:before="60" w:after="60"/>
        <w:ind w:left="720"/>
      </w:pPr>
      <w:r>
        <w:rPr>
          <w:rFonts w:ascii="Times New Roman" w:hAnsi="Times New Roman"/>
          <w:b/>
          <w:sz w:val="24"/>
        </w:rPr>
        <w:t xml:space="preserve">4.3  </w:t>
      </w:r>
      <w:r>
        <w:rPr>
          <w:rFonts w:ascii="Times New Roman" w:hAnsi="Times New Roman"/>
          <w:sz w:val="24"/>
        </w:rPr>
        <w:t>Future Creditors. For creditors who arise AFTER the transfer to the Trust (future creditors), the DAPT provides protection from the date of the transfer, provided the Settlor was solvent at the time of transfer and the transfer was not made with intent to defraud a known future creditor.</w:t>
      </w:r>
    </w:p>
    <w:p>
      <w:pPr>
        <w:spacing w:before="60" w:after="60"/>
        <w:ind w:left="720"/>
      </w:pPr>
      <w:r>
        <w:rPr>
          <w:rFonts w:ascii="Times New Roman" w:hAnsi="Times New Roman"/>
          <w:b/>
          <w:sz w:val="24"/>
        </w:rPr>
        <w:t xml:space="preserve">4.4  </w:t>
      </w:r>
      <w:r>
        <w:rPr>
          <w:rFonts w:ascii="Times New Roman" w:hAnsi="Times New Roman"/>
          <w:sz w:val="24"/>
        </w:rPr>
        <w:t>Federal Bankruptcy Exception. Asset protection trusts are not protected from federal bankruptcy trustees. Under 11 U.S.C. §548(e), a bankruptcy trustee may avoid a self-settled trust transfer made within 10 years of bankruptcy filing, if the Settlor made the transfer with actual intent to hinder, delay, or defraud creditors. DAPT planning does not protect against bankruptcy avoidance powers.</w:t>
      </w:r>
    </w:p>
    <w:p>
      <w:pPr>
        <w:spacing w:before="240"/>
      </w:pPr>
      <w:r>
        <w:rPr>
          <w:rFonts w:ascii="Times New Roman" w:hAnsi="Times New Roman"/>
          <w:b/>
          <w:sz w:val="24"/>
        </w:rPr>
        <w:t>ARTICLE V — TRUST PROTECTOR — SITUS MIGRATION</w:t>
      </w:r>
    </w:p>
    <w:p>
      <w:pPr>
        <w:spacing w:before="60" w:after="60"/>
        <w:ind w:left="720"/>
      </w:pPr>
      <w:r>
        <w:rPr>
          <w:rFonts w:ascii="Times New Roman" w:hAnsi="Times New Roman"/>
          <w:b/>
          <w:sz w:val="24"/>
        </w:rPr>
        <w:t xml:space="preserve">5.1  </w:t>
      </w:r>
      <w:r>
        <w:rPr>
          <w:rFonts w:ascii="Times New Roman" w:hAnsi="Times New Roman"/>
          <w:sz w:val="24"/>
        </w:rPr>
        <w:t>Trust Protector. I hereby appoint ________________________________ as Trust Protector. The Trust Protector, acting in a non-fiduciary capacity, has the following powers: (a) to remove and replace the Qualified Trustee; (b) to modify the Trust's governing law and situs; (c) to add, modify, or remove beneficiaries from the discretionary class (within permissible limits); (d) to approve modifications to conform the Trust to changes in applicable DAPT law; and (e) to veto Trustee distributions exceeding $_______________ without Trust Protector consent.</w:t>
      </w:r>
    </w:p>
    <w:p>
      <w:pPr>
        <w:spacing w:before="60" w:after="60"/>
        <w:ind w:left="720"/>
      </w:pPr>
      <w:r>
        <w:rPr>
          <w:rFonts w:ascii="Times New Roman" w:hAnsi="Times New Roman"/>
          <w:b/>
          <w:sz w:val="24"/>
        </w:rPr>
        <w:t xml:space="preserve">5.2  </w:t>
      </w:r>
      <w:r>
        <w:rPr>
          <w:rFonts w:ascii="Times New Roman" w:hAnsi="Times New Roman"/>
          <w:sz w:val="24"/>
        </w:rPr>
        <w:t>Situs Migration. If the Trust Protector determines that another jurisdiction offers materially stronger DAPT protection, the Trust Protector may, with the Qualified Trustee's consent, migrate the Trust's situs and governing law to such other jurisdiction by executing and delivering a written Notice of Change of Situs to all Trustees and beneficiaries. The new jurisdiction's DAPT statute shall then govern the Trust.</w:t>
      </w:r>
    </w:p>
    <w:p>
      <w:pPr>
        <w:spacing w:before="240"/>
      </w:pPr>
      <w:r>
        <w:rPr>
          <w:rFonts w:ascii="Times New Roman" w:hAnsi="Times New Roman"/>
          <w:b/>
          <w:sz w:val="24"/>
        </w:rPr>
        <w:t>ARTICLE VI — RETAINED SETTLOR RIGHTS — LIMITED</w:t>
      </w:r>
    </w:p>
    <w:p>
      <w:pPr>
        <w:spacing w:before="60" w:after="60"/>
        <w:ind w:left="720"/>
      </w:pPr>
      <w:r>
        <w:rPr>
          <w:rFonts w:ascii="Times New Roman" w:hAnsi="Times New Roman"/>
          <w:b/>
          <w:sz w:val="24"/>
        </w:rPr>
        <w:t xml:space="preserve">6.1  </w:t>
      </w:r>
      <w:r>
        <w:rPr>
          <w:rFonts w:ascii="Times New Roman" w:hAnsi="Times New Roman"/>
          <w:sz w:val="24"/>
        </w:rPr>
        <w:t>Veto Power. The Settlor retains the right to veto distributions from this Trust to any beneficiary other than the Settlor. This veto right shall not include any positive right to direct distributions; the Trustee's discretion over distributions (including to the Settlor) remains absolute.</w:t>
      </w:r>
    </w:p>
    <w:p>
      <w:pPr>
        <w:spacing w:before="60" w:after="60"/>
        <w:ind w:left="720"/>
      </w:pPr>
      <w:r>
        <w:rPr>
          <w:rFonts w:ascii="Times New Roman" w:hAnsi="Times New Roman"/>
          <w:b/>
          <w:sz w:val="24"/>
        </w:rPr>
        <w:t xml:space="preserve">6.2  </w:t>
      </w:r>
      <w:r>
        <w:rPr>
          <w:rFonts w:ascii="Times New Roman" w:hAnsi="Times New Roman"/>
          <w:sz w:val="24"/>
        </w:rPr>
        <w:t>Limited Testamentary Power of Appointment. The Settlor retains a limited testamentary power of appointment over Trust principal at death, exercisable only by a specific written provision in the Settlor's Last Will and Testament, in favor of a defined class of permissible appointees: the Settlor's lineal descendants, siblings, and IRC § 501(c)(3) organizations.</w:t>
      </w:r>
    </w:p>
    <w:p>
      <w:pPr>
        <w:spacing w:before="60" w:after="60"/>
        <w:ind w:left="720"/>
      </w:pPr>
      <w:r>
        <w:rPr>
          <w:rFonts w:ascii="Times New Roman" w:hAnsi="Times New Roman"/>
          <w:b/>
          <w:sz w:val="24"/>
        </w:rPr>
        <w:t xml:space="preserve">6.3  </w:t>
      </w:r>
      <w:r>
        <w:rPr>
          <w:rFonts w:ascii="Times New Roman" w:hAnsi="Times New Roman"/>
          <w:sz w:val="24"/>
        </w:rPr>
        <w:t>No Other Retained Rights. The Settlor retains no other rights, powers, or interests in the Trust. The Settlor specifically does not retain: (a) any right to revoke, amend, or terminate the Trust; (b) any beneficial interest in income or principal (other than as a discretionary beneficiary per Article II); (c) any power to designate the person who shall possess or enjoy Trust property; or (d) any other power that could cause Trust property to be includible in the Settlor's gross estate under IRC §§ 2036-2038.</w:t>
      </w:r>
    </w:p>
    <w:p>
      <w:pPr>
        <w:spacing w:before="240"/>
      </w:pPr>
      <w:r>
        <w:rPr>
          <w:rFonts w:ascii="Times New Roman" w:hAnsi="Times New Roman"/>
          <w:b/>
          <w:sz w:val="24"/>
        </w:rPr>
        <w:t>ARTICLE VII — TRUSTEE POWERS</w:t>
      </w:r>
    </w:p>
    <w:p>
      <w:pPr>
        <w:spacing w:before="60" w:after="60"/>
      </w:pPr>
      <w:r>
        <w:rPr>
          <w:rFonts w:ascii="Times New Roman" w:hAnsi="Times New Roman"/>
          <w:sz w:val="24"/>
        </w:rPr>
        <w:t>The Qualified Trustee shall have all powers described under applicable DAPT law and Uniform Trust Code (UTC) as adopted in your state; consult applicable state statutes, including the following specific powers:</w:t>
      </w:r>
    </w:p>
    <w:p>
      <w:pPr>
        <w:spacing w:before="60" w:after="60"/>
        <w:ind w:left="720"/>
      </w:pPr>
      <w:r>
        <w:rPr>
          <w:rFonts w:ascii="Times New Roman" w:hAnsi="Times New Roman"/>
          <w:b/>
          <w:sz w:val="24"/>
        </w:rPr>
        <w:t xml:space="preserve">7.1  </w:t>
      </w:r>
      <w:r>
        <w:rPr>
          <w:rFonts w:ascii="Times New Roman" w:hAnsi="Times New Roman"/>
          <w:sz w:val="24"/>
        </w:rPr>
        <w:t>Invest. To invest Trust assets consistent with the prudent investor standard under applicable DAPT jurisdiction law.</w:t>
      </w:r>
    </w:p>
    <w:p>
      <w:pPr>
        <w:spacing w:before="60" w:after="60"/>
        <w:ind w:left="720"/>
      </w:pPr>
      <w:r>
        <w:rPr>
          <w:rFonts w:ascii="Times New Roman" w:hAnsi="Times New Roman"/>
          <w:b/>
          <w:sz w:val="24"/>
        </w:rPr>
        <w:t xml:space="preserve">7.2  </w:t>
      </w:r>
      <w:r>
        <w:rPr>
          <w:rFonts w:ascii="Times New Roman" w:hAnsi="Times New Roman"/>
          <w:sz w:val="24"/>
        </w:rPr>
        <w:t>Sell. To sell, exchange, or dispose of any Trust asset without court order.</w:t>
      </w:r>
    </w:p>
    <w:p>
      <w:pPr>
        <w:spacing w:before="60" w:after="60"/>
        <w:ind w:left="720"/>
      </w:pPr>
      <w:r>
        <w:rPr>
          <w:rFonts w:ascii="Times New Roman" w:hAnsi="Times New Roman"/>
          <w:b/>
          <w:sz w:val="24"/>
        </w:rPr>
        <w:t xml:space="preserve">7.3  </w:t>
      </w:r>
      <w:r>
        <w:rPr>
          <w:rFonts w:ascii="Times New Roman" w:hAnsi="Times New Roman"/>
          <w:sz w:val="24"/>
        </w:rPr>
        <w:t>Lease. To lease Trust property for any term.</w:t>
      </w:r>
    </w:p>
    <w:p>
      <w:pPr>
        <w:spacing w:before="60" w:after="60"/>
        <w:ind w:left="720"/>
      </w:pPr>
      <w:r>
        <w:rPr>
          <w:rFonts w:ascii="Times New Roman" w:hAnsi="Times New Roman"/>
          <w:b/>
          <w:sz w:val="24"/>
        </w:rPr>
        <w:t xml:space="preserve">7.4  </w:t>
      </w:r>
      <w:r>
        <w:rPr>
          <w:rFonts w:ascii="Times New Roman" w:hAnsi="Times New Roman"/>
          <w:sz w:val="24"/>
        </w:rPr>
        <w:t>Borrow. To borrow funds for Trust purposes on commercially reasonable terms.</w:t>
      </w:r>
    </w:p>
    <w:p>
      <w:pPr>
        <w:spacing w:before="60" w:after="60"/>
        <w:ind w:left="720"/>
      </w:pPr>
      <w:r>
        <w:rPr>
          <w:rFonts w:ascii="Times New Roman" w:hAnsi="Times New Roman"/>
          <w:b/>
          <w:sz w:val="24"/>
        </w:rPr>
        <w:t xml:space="preserve">7.5  </w:t>
      </w:r>
      <w:r>
        <w:rPr>
          <w:rFonts w:ascii="Times New Roman" w:hAnsi="Times New Roman"/>
          <w:sz w:val="24"/>
        </w:rPr>
        <w:t>Manage Real Property. To manage, repair, improve, insure, and sell real property held in Trust.</w:t>
      </w:r>
    </w:p>
    <w:p>
      <w:pPr>
        <w:spacing w:before="60" w:after="60"/>
        <w:ind w:left="720"/>
      </w:pPr>
      <w:r>
        <w:rPr>
          <w:rFonts w:ascii="Times New Roman" w:hAnsi="Times New Roman"/>
          <w:b/>
          <w:sz w:val="24"/>
        </w:rPr>
        <w:t xml:space="preserve">7.6  </w:t>
      </w:r>
      <w:r>
        <w:rPr>
          <w:rFonts w:ascii="Times New Roman" w:hAnsi="Times New Roman"/>
          <w:sz w:val="24"/>
        </w:rPr>
        <w:t>Bank Accounts. To open and maintain accounts in the Trust Name in the DAPT jurisdiction.</w:t>
      </w:r>
    </w:p>
    <w:p>
      <w:pPr>
        <w:spacing w:before="60" w:after="60"/>
        <w:ind w:left="720"/>
      </w:pPr>
      <w:r>
        <w:rPr>
          <w:rFonts w:ascii="Times New Roman" w:hAnsi="Times New Roman"/>
          <w:b/>
          <w:sz w:val="24"/>
        </w:rPr>
        <w:t xml:space="preserve">7.7  </w:t>
      </w:r>
      <w:r>
        <w:rPr>
          <w:rFonts w:ascii="Times New Roman" w:hAnsi="Times New Roman"/>
          <w:sz w:val="24"/>
        </w:rPr>
        <w:t>Employ Agents. To employ attorneys, accountants, investment advisors, and other professionals.</w:t>
      </w:r>
    </w:p>
    <w:p>
      <w:pPr>
        <w:spacing w:before="60" w:after="60"/>
        <w:ind w:left="720"/>
      </w:pPr>
      <w:r>
        <w:rPr>
          <w:rFonts w:ascii="Times New Roman" w:hAnsi="Times New Roman"/>
          <w:b/>
          <w:sz w:val="24"/>
        </w:rPr>
        <w:t xml:space="preserve">7.8  </w:t>
      </w:r>
      <w:r>
        <w:rPr>
          <w:rFonts w:ascii="Times New Roman" w:hAnsi="Times New Roman"/>
          <w:sz w:val="24"/>
        </w:rPr>
        <w:t>File Tax Returns. To prepare and file all required tax returns for the Trust.</w:t>
      </w:r>
    </w:p>
    <w:p>
      <w:pPr>
        <w:spacing w:before="60" w:after="60"/>
        <w:ind w:left="720"/>
      </w:pPr>
      <w:r>
        <w:rPr>
          <w:rFonts w:ascii="Times New Roman" w:hAnsi="Times New Roman"/>
          <w:b/>
          <w:sz w:val="24"/>
        </w:rPr>
        <w:t xml:space="preserve">7.9  </w:t>
      </w:r>
      <w:r>
        <w:rPr>
          <w:rFonts w:ascii="Times New Roman" w:hAnsi="Times New Roman"/>
          <w:sz w:val="24"/>
        </w:rPr>
        <w:t>Distribute in Kind. To make distributions to beneficiaries in cash or in kind.</w:t>
      </w:r>
    </w:p>
    <w:p>
      <w:pPr>
        <w:spacing w:before="60" w:after="60"/>
        <w:ind w:left="720"/>
      </w:pPr>
      <w:r>
        <w:rPr>
          <w:rFonts w:ascii="Times New Roman" w:hAnsi="Times New Roman"/>
          <w:b/>
          <w:sz w:val="24"/>
        </w:rPr>
        <w:t xml:space="preserve">7.10  </w:t>
      </w:r>
      <w:r>
        <w:rPr>
          <w:rFonts w:ascii="Times New Roman" w:hAnsi="Times New Roman"/>
          <w:sz w:val="24"/>
        </w:rPr>
        <w:t>Compromise Claims. To settle or abandon any claim by or against the Trust without court order.</w:t>
      </w:r>
    </w:p>
    <w:p>
      <w:pPr>
        <w:spacing w:before="60" w:after="60"/>
        <w:ind w:left="720"/>
      </w:pPr>
      <w:r>
        <w:rPr>
          <w:rFonts w:ascii="Times New Roman" w:hAnsi="Times New Roman"/>
          <w:b/>
          <w:sz w:val="24"/>
        </w:rPr>
        <w:t xml:space="preserve">7.11  </w:t>
      </w:r>
      <w:r>
        <w:rPr>
          <w:rFonts w:ascii="Times New Roman" w:hAnsi="Times New Roman"/>
          <w:sz w:val="24"/>
        </w:rPr>
        <w:t>Digital Assets. To manage any digital assets held in the Trust.</w:t>
      </w:r>
    </w:p>
    <w:p>
      <w:pPr>
        <w:spacing w:before="60" w:after="60"/>
        <w:ind w:left="720"/>
      </w:pPr>
      <w:r>
        <w:rPr>
          <w:rFonts w:ascii="Times New Roman" w:hAnsi="Times New Roman"/>
          <w:b/>
          <w:sz w:val="24"/>
        </w:rPr>
        <w:t xml:space="preserve">7.12  </w:t>
      </w:r>
      <w:r>
        <w:rPr>
          <w:rFonts w:ascii="Times New Roman" w:hAnsi="Times New Roman"/>
          <w:sz w:val="24"/>
        </w:rPr>
        <w:t>Insure. To purchase and maintain insurance for Trust assets.</w:t>
      </w:r>
    </w:p>
    <w:p>
      <w:pPr>
        <w:spacing w:before="60" w:after="60"/>
        <w:ind w:left="720"/>
      </w:pPr>
      <w:r>
        <w:rPr>
          <w:rFonts w:ascii="Times New Roman" w:hAnsi="Times New Roman"/>
          <w:b/>
          <w:sz w:val="24"/>
        </w:rPr>
        <w:t xml:space="preserve">7.13  </w:t>
      </w:r>
      <w:r>
        <w:rPr>
          <w:rFonts w:ascii="Times New Roman" w:hAnsi="Times New Roman"/>
          <w:sz w:val="24"/>
        </w:rPr>
        <w:t>Delegate. To delegate ministerial functions to agents consistent with applicable DAPT law.</w:t>
      </w:r>
    </w:p>
    <w:p>
      <w:pPr>
        <w:spacing w:before="60" w:after="60"/>
        <w:ind w:left="720"/>
      </w:pPr>
      <w:r>
        <w:rPr>
          <w:rFonts w:ascii="Times New Roman" w:hAnsi="Times New Roman"/>
          <w:b/>
          <w:sz w:val="24"/>
        </w:rPr>
        <w:t xml:space="preserve">7.14  </w:t>
      </w:r>
      <w:r>
        <w:rPr>
          <w:rFonts w:ascii="Times New Roman" w:hAnsi="Times New Roman"/>
          <w:sz w:val="24"/>
        </w:rPr>
        <w:t>Trust Protector Coordination. To coordinate with the Trust Protector as specified in Article V.</w:t>
      </w:r>
    </w:p>
    <w:p>
      <w:pPr>
        <w:spacing w:before="60" w:after="60"/>
        <w:ind w:left="720"/>
      </w:pPr>
      <w:r>
        <w:rPr>
          <w:rFonts w:ascii="Times New Roman" w:hAnsi="Times New Roman"/>
          <w:b/>
          <w:sz w:val="24"/>
        </w:rPr>
        <w:t xml:space="preserve">7.15  </w:t>
      </w:r>
      <w:r>
        <w:rPr>
          <w:rFonts w:ascii="Times New Roman" w:hAnsi="Times New Roman"/>
          <w:sz w:val="24"/>
        </w:rPr>
        <w:t>Maintain DAPT Jurisdiction Nexus. To take all actions necessary to maintain a sufficient nexus to the DAPT jurisdiction, including maintaining records and Trust accounts in such jurisdiction.</w:t>
      </w:r>
    </w:p>
    <w:p>
      <w:pPr>
        <w:spacing w:before="60" w:after="60"/>
        <w:ind w:left="720"/>
      </w:pPr>
      <w:r>
        <w:rPr>
          <w:rFonts w:ascii="Times New Roman" w:hAnsi="Times New Roman"/>
          <w:b/>
          <w:sz w:val="24"/>
        </w:rPr>
        <w:t xml:space="preserve">7.16  </w:t>
      </w:r>
      <w:r>
        <w:rPr>
          <w:rFonts w:ascii="Times New Roman" w:hAnsi="Times New Roman"/>
          <w:sz w:val="24"/>
        </w:rPr>
        <w:t>Annual Accounting. To furnish each adult beneficiary with an annual written accounting within 90 days after each calendar year end.</w:t>
      </w:r>
    </w:p>
    <w:p>
      <w:pPr>
        <w:spacing w:before="60" w:after="60"/>
        <w:ind w:left="720"/>
      </w:pPr>
      <w:r>
        <w:rPr>
          <w:rFonts w:ascii="Times New Roman" w:hAnsi="Times New Roman"/>
          <w:b/>
          <w:sz w:val="24"/>
        </w:rPr>
        <w:t xml:space="preserve">7.17  </w:t>
      </w:r>
      <w:r>
        <w:rPr>
          <w:rFonts w:ascii="Times New Roman" w:hAnsi="Times New Roman"/>
          <w:sz w:val="24"/>
        </w:rPr>
        <w:t>Tax Elections. To make all tax elections beneficial to the Trust and its beneficiaries.</w:t>
      </w:r>
    </w:p>
    <w:p>
      <w:pPr>
        <w:spacing w:before="60" w:after="60"/>
        <w:ind w:left="720"/>
      </w:pPr>
      <w:r>
        <w:rPr>
          <w:rFonts w:ascii="Times New Roman" w:hAnsi="Times New Roman"/>
          <w:b/>
          <w:sz w:val="24"/>
        </w:rPr>
        <w:t xml:space="preserve">7.18  </w:t>
      </w:r>
      <w:r>
        <w:rPr>
          <w:rFonts w:ascii="Times New Roman" w:hAnsi="Times New Roman"/>
          <w:sz w:val="24"/>
        </w:rPr>
        <w:t>Situs Migration. To cooperate with the Trust Protector in migrating the Trust's situs and governing law if directed.</w:t>
      </w:r>
    </w:p>
    <w:p>
      <w:pPr>
        <w:spacing w:before="240"/>
      </w:pPr>
      <w:r>
        <w:rPr>
          <w:rFonts w:ascii="Times New Roman" w:hAnsi="Times New Roman"/>
          <w:b/>
          <w:sz w:val="24"/>
        </w:rPr>
        <w:t>ARTICLE VIII — GRANTOR / NON-GRANTOR TAX ELECTION GUIDANCE</w:t>
      </w:r>
    </w:p>
    <w:p>
      <w:pPr>
        <w:spacing w:before="60" w:after="60"/>
        <w:ind w:left="720"/>
      </w:pPr>
      <w:r>
        <w:rPr>
          <w:rFonts w:ascii="Times New Roman" w:hAnsi="Times New Roman"/>
          <w:b/>
          <w:sz w:val="24"/>
        </w:rPr>
        <w:t xml:space="preserve">8.1  </w:t>
      </w:r>
      <w:r>
        <w:rPr>
          <w:rFonts w:ascii="Times New Roman" w:hAnsi="Times New Roman"/>
          <w:sz w:val="24"/>
        </w:rPr>
        <w:t>Grantor Trust vs. Non-Grantor Trust. Whether this DAPT is treated as a grantor trust (with income taxed to the Settlor under IRC §§ 671-679) or a non-grantor trust (with the Trust filing its own Form 1041) depends on what powers the Settlor retains. Consult a qualified tax advisor to determine the preferred tax treatment.</w:t>
      </w:r>
    </w:p>
    <w:p>
      <w:pPr>
        <w:spacing w:before="60" w:after="60"/>
        <w:ind w:left="720"/>
      </w:pPr>
      <w:r>
        <w:rPr>
          <w:rFonts w:ascii="Times New Roman" w:hAnsi="Times New Roman"/>
          <w:b/>
          <w:sz w:val="24"/>
        </w:rPr>
        <w:t xml:space="preserve">8.2  </w:t>
      </w:r>
      <w:r>
        <w:rPr>
          <w:rFonts w:ascii="Times New Roman" w:hAnsi="Times New Roman"/>
          <w:sz w:val="24"/>
        </w:rPr>
        <w:t>Grantor Trust Treatment. If the Settlor retains the limited testamentary power of appointment described in Article VI, Section 6.2, this Trust may qualify as a grantor trust under IRC § 675(4)(C), with all income taxed to the Settlor personally.</w:t>
      </w:r>
    </w:p>
    <w:p>
      <w:pPr>
        <w:spacing w:before="60" w:after="60"/>
        <w:ind w:left="720"/>
      </w:pPr>
      <w:r>
        <w:rPr>
          <w:rFonts w:ascii="Times New Roman" w:hAnsi="Times New Roman"/>
          <w:b/>
          <w:sz w:val="24"/>
        </w:rPr>
        <w:t xml:space="preserve">8.3  </w:t>
      </w:r>
      <w:r>
        <w:rPr>
          <w:rFonts w:ascii="Times New Roman" w:hAnsi="Times New Roman"/>
          <w:sz w:val="24"/>
        </w:rPr>
        <w:t>Non-Grantor Trust Treatment. If the Settlor does not retain any grantor trust powers, the Trust will be taxed as a separate entity. The Trust will pay tax on accumulated income, and beneficiaries report income upon distribution. Non-grantor trust status may offer state income tax benefits if the DAPT jurisdiction has no or lower state income tax.</w:t>
      </w:r>
    </w:p>
    <w:p>
      <w:pPr>
        <w:spacing w:before="240"/>
      </w:pPr>
      <w:r>
        <w:rPr>
          <w:rFonts w:ascii="Times New Roman" w:hAnsi="Times New Roman"/>
          <w:b/>
          <w:sz w:val="24"/>
        </w:rPr>
        <w:t>ARTICLE IX — OUT-OF-JURISDICTION PLANNING NOTES</w:t>
      </w:r>
    </w:p>
    <w:p>
      <w:pPr>
        <w:spacing w:before="60" w:after="60"/>
        <w:ind w:left="720"/>
      </w:pPr>
      <w:r>
        <w:rPr>
          <w:rFonts w:ascii="Times New Roman" w:hAnsi="Times New Roman"/>
          <w:b/>
          <w:sz w:val="24"/>
        </w:rPr>
        <w:t xml:space="preserve">9.1  </w:t>
      </w:r>
      <w:r>
        <w:rPr>
          <w:rFonts w:ascii="Times New Roman" w:hAnsi="Times New Roman"/>
          <w:sz w:val="24"/>
        </w:rPr>
        <w:t>Full Faith and Credit. DAPTs are sometimes challenged when a creditor from the Settlor's home state seeks to enforce a judgment against DAPT assets in the DAPT jurisdiction. Courts have not consistently resolved whether the Full Faith and Credit Clause (U.S. Const. Art. IV, § 1) requires DAPT jurisdictions to honor other states' judgments against DAPT assets.</w:t>
      </w:r>
    </w:p>
    <w:p>
      <w:pPr>
        <w:spacing w:before="60" w:after="60"/>
        <w:ind w:left="720"/>
      </w:pPr>
      <w:r>
        <w:rPr>
          <w:rFonts w:ascii="Times New Roman" w:hAnsi="Times New Roman"/>
          <w:b/>
          <w:sz w:val="24"/>
        </w:rPr>
        <w:t xml:space="preserve">9.2  </w:t>
      </w:r>
      <w:r>
        <w:rPr>
          <w:rFonts w:ascii="Times New Roman" w:hAnsi="Times New Roman"/>
          <w:sz w:val="24"/>
        </w:rPr>
        <w:t>United States (Universal) Residents Using DAPTs. A United States (Universal) resident using a DAPT in another jurisdiction may face challenges if United States (Universal) courts determine that the Trust's assets should be subject to United States (Universal) creditor claims regardless of the DAPT jurisdiction's law.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9.3  </w:t>
      </w:r>
      <w:r>
        <w:rPr>
          <w:rFonts w:ascii="Times New Roman" w:hAnsi="Times New Roman"/>
          <w:sz w:val="24"/>
        </w:rPr>
        <w:t>Uniform Voidable Transactions Act. Many states, including potentially United States (Universal), have adopted the Uniform Voidable Transactions Act (UVTA), which may be used to challenge transfers to DAPTs as voidable transactions. Planning should occur before creditor claims arise.</w:t>
      </w:r>
    </w:p>
    <w:p>
      <w:pPr>
        <w:spacing w:before="240"/>
      </w:pPr>
      <w:r>
        <w:rPr>
          <w:rFonts w:ascii="Times New Roman" w:hAnsi="Times New Roman"/>
          <w:b/>
          <w:sz w:val="24"/>
        </w:rPr>
        <w:t>ARTICLE X — FRAUDULENT TRANSFER AND GOVERNING LAW</w:t>
      </w:r>
    </w:p>
    <w:p>
      <w:pPr>
        <w:spacing w:before="60" w:after="60"/>
        <w:ind w:left="720"/>
      </w:pPr>
      <w:r>
        <w:rPr>
          <w:rFonts w:ascii="Times New Roman" w:hAnsi="Times New Roman"/>
          <w:b/>
          <w:sz w:val="24"/>
        </w:rPr>
        <w:t xml:space="preserve">10.1  </w:t>
      </w:r>
      <w:r>
        <w:rPr>
          <w:rFonts w:ascii="Times New Roman" w:hAnsi="Times New Roman"/>
          <w:sz w:val="24"/>
        </w:rPr>
        <w:t>Fraudulent Transfer Provisions. Any transfer to this Trust that is determined by a court of competent jurisdiction to be a fraudulent transfer shall be severable from this Trust Agreement without affecting the validity of the remaining Trust provisions.</w:t>
      </w:r>
    </w:p>
    <w:p>
      <w:pPr>
        <w:spacing w:before="60" w:after="60"/>
        <w:ind w:left="720"/>
      </w:pPr>
      <w:r>
        <w:rPr>
          <w:rFonts w:ascii="Times New Roman" w:hAnsi="Times New Roman"/>
          <w:b/>
          <w:sz w:val="24"/>
        </w:rPr>
        <w:t xml:space="preserve">10.2  </w:t>
      </w:r>
      <w:r>
        <w:rPr>
          <w:rFonts w:ascii="Times New Roman" w:hAnsi="Times New Roman"/>
          <w:sz w:val="24"/>
        </w:rPr>
        <w:t>Governing Law. This Trust shall be governed by the laws of the DAPT jurisdiction specified in Article I, Section 1.4, unless the Trust Protector exercises situs migration authority under Article V, Section 5.2.</w:t>
      </w:r>
    </w:p>
    <w:p>
      <w:pPr>
        <w:spacing w:before="60" w:after="60"/>
        <w:ind w:left="720"/>
      </w:pPr>
      <w:r>
        <w:rPr>
          <w:rFonts w:ascii="Times New Roman" w:hAnsi="Times New Roman"/>
          <w:b/>
          <w:sz w:val="24"/>
        </w:rPr>
        <w:t xml:space="preserve">10.3  </w:t>
      </w:r>
      <w:r>
        <w:rPr>
          <w:rFonts w:ascii="Times New Roman" w:hAnsi="Times New Roman"/>
          <w:sz w:val="24"/>
        </w:rPr>
        <w:t>Certification / Acceptance. By signing below, the Qualified Trustee certifies that the Trustee meets all requirements of the applicable DAPT statute and accepts the trusteeship of this Domestic Asset Protection Trust.</w:t>
      </w:r>
    </w:p>
    <w:p>
      <w:pPr>
        <w:spacing w:before="240"/>
      </w:pPr>
      <w:r>
        <w:rPr>
          <w:rFonts w:ascii="Times New Roman" w:hAnsi="Times New Roman"/>
          <w:b/>
          <w:sz w:val="24"/>
        </w:rPr>
        <w:t>ARTICLE XI — EXECUTION AND NOTARIZATION</w:t>
      </w:r>
    </w:p>
    <w:p>
      <w:pPr>
        <w:spacing w:before="40" w:after="40"/>
      </w:pPr>
    </w:p>
    <w:p>
      <w:pPr>
        <w:spacing w:before="60" w:after="60"/>
      </w:pPr>
      <w:r>
        <w:rPr>
          <w:rFonts w:ascii="Times New Roman" w:hAnsi="Times New Roman"/>
          <w:sz w:val="24"/>
        </w:rPr>
        <w:t>IN WITNESS WHEREOF, the Settlor and Qualified Trustee have executed this DAPT Agreement.</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Settlor's Signature</w:t>
      </w:r>
    </w:p>
    <w:p>
      <w:pPr>
        <w:spacing w:before="80"/>
      </w:pPr>
      <w:r>
        <w:rPr>
          <w:rFonts w:ascii="Times New Roman" w:hAnsi="Times New Roman"/>
          <w:b/>
          <w:sz w:val="24"/>
        </w:rPr>
        <w:t xml:space="preserve">Settlor's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(Settlor), acknowledged execution of the foregoing DAPT.</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Qualified Trustee's Signature</w:t>
      </w:r>
    </w:p>
    <w:p>
      <w:pPr>
        <w:spacing w:before="80"/>
      </w:pPr>
      <w:r>
        <w:rPr>
          <w:rFonts w:ascii="Times New Roman" w:hAnsi="Times New Roman"/>
          <w:b/>
          <w:sz w:val="24"/>
        </w:rPr>
        <w:t xml:space="preserve">Trustee's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DAPT JURISDICTION NOTARIZATION:</w:t>
      </w:r>
    </w:p>
    <w:p>
      <w:pPr>
        <w:spacing w:before="80"/>
      </w:pPr>
      <w:r>
        <w:rPr>
          <w:rFonts w:ascii="Times New Roman" w:hAnsi="Times New Roman"/>
          <w:b/>
          <w:sz w:val="24"/>
        </w:rPr>
        <w:t xml:space="preserve">State/Jurisdiction of Notarization:  </w:t>
      </w:r>
      <w:r>
        <w:rPr>
          <w:rFonts w:ascii="Times New Roman" w:hAnsi="Times New Roman"/>
          <w:sz w:val="24"/>
        </w:rPr>
        <w:t>_______________________________________________</w:t>
      </w:r>
    </w:p>
    <w:p>
      <w:pPr>
        <w:spacing w:before="80"/>
      </w:pPr>
      <w:r>
        <w:rPr>
          <w:rFonts w:ascii="Times New Roman" w:hAnsi="Times New Roman"/>
          <w:b/>
          <w:sz w:val="24"/>
        </w:rPr>
        <w:t xml:space="preserve">County / District: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(Qualified Trustee), acknowledged acceptance of trusteeship.</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 (DAPT Jurisdiction)</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SCHEDULE A — INITIAL TRUST ASSETS</w:t>
      </w:r>
    </w:p>
    <w:p>
      <w:pPr>
        <w:spacing w:before="60" w:after="60"/>
      </w:pPr>
      <w:r>
        <w:rPr>
          <w:rFonts w:ascii="Times New Roman" w:hAnsi="Times New Roman"/>
          <w:sz w:val="24"/>
        </w:rPr>
        <w:t>1.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2.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3.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4.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5.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6.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r>
        <w:br w:type="page"/>
      </w:r>
    </w:p>
    <w:p>
      <w:pPr>
        <w:jc w:val="center"/>
      </w:pPr>
      <w:r>
        <w:rPr>
          <w:rFonts w:ascii="Times New Roman" w:hAnsi="Times New Roman"/>
          <w:b/>
          <w:sz w:val="28"/>
        </w:rPr>
        <w:t>EXHIBIT A — SETTLOR'S SOLVENCY AFFIDAVIT</w:t>
      </w:r>
    </w:p>
    <w:p>
      <w:pPr>
        <w:spacing w:before="60" w:after="60"/>
      </w:pPr>
      <w:r>
        <w:rPr>
          <w:rFonts w:ascii="Times New Roman" w:hAnsi="Times New Roman"/>
          <w:sz w:val="24"/>
        </w:rPr>
        <w:t>I, ________________________________ (Settlor), being duly sworn, declare under penalty of perjury that as of the date of this affidavit:</w:t>
      </w:r>
    </w:p>
    <w:p>
      <w:pPr>
        <w:spacing w:before="60" w:after="60"/>
      </w:pPr>
      <w:r>
        <w:rPr>
          <w:rFonts w:ascii="Times New Roman" w:hAnsi="Times New Roman"/>
          <w:sz w:val="24"/>
        </w:rPr>
        <w:t>1. I am of sound mind and legally competent.</w:t>
      </w:r>
    </w:p>
    <w:p>
      <w:pPr>
        <w:spacing w:before="60" w:after="60"/>
      </w:pPr>
      <w:r>
        <w:rPr>
          <w:rFonts w:ascii="Times New Roman" w:hAnsi="Times New Roman"/>
          <w:sz w:val="24"/>
        </w:rPr>
        <w:t>2. I am solvent. My total assets exceed my total liabilities by at least $______________.</w:t>
      </w:r>
    </w:p>
    <w:p>
      <w:pPr>
        <w:spacing w:before="60" w:after="60"/>
      </w:pPr>
      <w:r>
        <w:rPr>
          <w:rFonts w:ascii="Times New Roman" w:hAnsi="Times New Roman"/>
          <w:sz w:val="24"/>
        </w:rPr>
        <w:t>3. I am not making this transfer with actual intent to hinder, delay, or defraud any present or known future creditor.</w:t>
      </w:r>
    </w:p>
    <w:p>
      <w:pPr>
        <w:spacing w:before="60" w:after="60"/>
      </w:pPr>
      <w:r>
        <w:rPr>
          <w:rFonts w:ascii="Times New Roman" w:hAnsi="Times New Roman"/>
          <w:sz w:val="24"/>
        </w:rPr>
        <w:t>4. Pending lawsuits/creditor claims: ☐ NONE  ☐ DISCLOSED: ________________________________.</w:t>
      </w:r>
    </w:p>
    <w:p>
      <w:pPr>
        <w:spacing w:before="60" w:after="60"/>
      </w:pPr>
      <w:r>
        <w:rPr>
          <w:rFonts w:ascii="Times New Roman" w:hAnsi="Times New Roman"/>
          <w:sz w:val="24"/>
        </w:rPr>
        <w:t>5. After the transfer to the Trust, I will retain sufficient assets to meet all of my current and reasonably anticipated obligations.</w:t>
      </w:r>
    </w:p>
    <w:p>
      <w:pPr>
        <w:spacing w:before="60" w:after="60"/>
      </w:pPr>
      <w:r>
        <w:rPr>
          <w:rFonts w:ascii="Times New Roman" w:hAnsi="Times New Roman"/>
          <w:sz w:val="24"/>
        </w:rPr>
        <w:t>6. I am not insolvent at the time of this transfer and will not become insolvent as a result of the transfer.</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Settlor's Signature</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Subscribed and sworn before me:</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ATTORNEY / DRAFTING NOTES — DAPT</w:t>
      </w:r>
    </w:p>
    <w:p>
      <w:pPr>
        <w:spacing w:before="60" w:after="60"/>
        <w:ind w:left="720"/>
      </w:pPr>
      <w:r>
        <w:rPr>
          <w:rFonts w:ascii="Times New Roman" w:hAnsi="Times New Roman"/>
          <w:b/>
          <w:sz w:val="24"/>
        </w:rPr>
        <w:t xml:space="preserve">•  </w:t>
      </w:r>
      <w:r>
        <w:rPr>
          <w:rFonts w:ascii="Times New Roman" w:hAnsi="Times New Roman"/>
          <w:sz w:val="24"/>
        </w:rPr>
        <w:t>DAPT Jurisdiction: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  </w:t>
      </w:r>
      <w:r>
        <w:rPr>
          <w:rFonts w:ascii="Times New Roman" w:hAnsi="Times New Roman"/>
          <w:sz w:val="24"/>
        </w:rPr>
        <w:t>Qualified Trustee: The Qualified Trustee must be a resident or licensed institution in the DAPT jurisdiction. The Settlor may NOT serve as Qualified Trustee.</w:t>
      </w:r>
    </w:p>
    <w:p>
      <w:pPr>
        <w:spacing w:before="60" w:after="60"/>
        <w:ind w:left="720"/>
      </w:pPr>
      <w:r>
        <w:rPr>
          <w:rFonts w:ascii="Times New Roman" w:hAnsi="Times New Roman"/>
          <w:b/>
          <w:sz w:val="24"/>
        </w:rPr>
        <w:t xml:space="preserve">•  </w:t>
      </w:r>
      <w:r>
        <w:rPr>
          <w:rFonts w:ascii="Times New Roman" w:hAnsi="Times New Roman"/>
          <w:sz w:val="24"/>
        </w:rPr>
        <w:t>Solvency Affidavit: Execution of the Solvency Affidavit is MANDATORY for DAPT effectiveness. Without it, the transfer may be more easily challenged as fraudulent.</w:t>
      </w:r>
    </w:p>
    <w:p>
      <w:pPr>
        <w:spacing w:before="60" w:after="60"/>
        <w:ind w:left="720"/>
      </w:pPr>
      <w:r>
        <w:rPr>
          <w:rFonts w:ascii="Times New Roman" w:hAnsi="Times New Roman"/>
          <w:b/>
          <w:sz w:val="24"/>
        </w:rPr>
        <w:t xml:space="preserve">•  </w:t>
      </w:r>
      <w:r>
        <w:rPr>
          <w:rFonts w:ascii="Times New Roman" w:hAnsi="Times New Roman"/>
          <w:sz w:val="24"/>
        </w:rPr>
        <w:t>Federal Bankruptcy: DAPTs do NOT protect against federal bankruptcy trustee avoidance under 11 U.S.C. § 548(e). DAPTs are primarily for non-bankruptcy creditor situations.</w:t>
      </w:r>
    </w:p>
    <w:p>
      <w:pPr>
        <w:spacing w:before="60" w:after="60"/>
        <w:ind w:left="720"/>
      </w:pPr>
      <w:r>
        <w:rPr>
          <w:rFonts w:ascii="Times New Roman" w:hAnsi="Times New Roman"/>
          <w:b/>
          <w:sz w:val="24"/>
        </w:rPr>
        <w:t xml:space="preserve">•  </w:t>
      </w:r>
      <w:r>
        <w:rPr>
          <w:rFonts w:ascii="Times New Roman" w:hAnsi="Times New Roman"/>
          <w:sz w:val="24"/>
        </w:rPr>
        <w:t>Full Faith and Credit: The constitutional issues surrounding DAPTs are not fully resolved. Courts in non-DAPT states may refuse to recognize DAPT protection. Work with experienced counsel.</w:t>
      </w:r>
    </w:p>
    <w:p>
      <w:pPr>
        <w:spacing w:before="60" w:after="60"/>
        <w:ind w:left="720"/>
      </w:pPr>
      <w:r>
        <w:rPr>
          <w:rFonts w:ascii="Times New Roman" w:hAnsi="Times New Roman"/>
          <w:b/>
          <w:sz w:val="24"/>
        </w:rPr>
        <w:t xml:space="preserve">•  </w:t>
      </w:r>
      <w:r>
        <w:rPr>
          <w:rFonts w:ascii="Times New Roman" w:hAnsi="Times New Roman"/>
          <w:sz w:val="24"/>
        </w:rPr>
        <w:t>United States (Universal) Considerations: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  </w:t>
      </w:r>
      <w:r>
        <w:rPr>
          <w:rFonts w:ascii="Times New Roman" w:hAnsi="Times New Roman"/>
          <w:sz w:val="24"/>
        </w:rPr>
        <w:t>Out-of-State Registration: If the Trust holds real property in a non-DAPT state, the creditor protection for that property depends on the property's state's laws, not the DAPT jurisdiction's laws.</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Domestic Asset Protection Trust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Domestic Asset Protection Trust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